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3C00" w14:textId="77777777" w:rsidR="009E6E5D" w:rsidRDefault="009E6E5D">
      <w:r>
        <w:rPr>
          <w:noProof/>
          <w:lang w:val="en-US"/>
        </w:rPr>
        <w:drawing>
          <wp:anchor distT="0" distB="0" distL="114300" distR="114300" simplePos="0" relativeHeight="251659264" behindDoc="0" locked="0" layoutInCell="1" allowOverlap="1" wp14:anchorId="5E57E98C" wp14:editId="6DA77F77">
            <wp:simplePos x="0" y="0"/>
            <wp:positionH relativeFrom="column">
              <wp:posOffset>-114300</wp:posOffset>
            </wp:positionH>
            <wp:positionV relativeFrom="paragraph">
              <wp:posOffset>0</wp:posOffset>
            </wp:positionV>
            <wp:extent cx="3168650" cy="16002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x0.png"/>
                    <pic:cNvPicPr/>
                  </pic:nvPicPr>
                  <pic:blipFill>
                    <a:blip r:embed="rId11">
                      <a:extLst>
                        <a:ext uri="{28A0092B-C50C-407E-A947-70E740481C1C}">
                          <a14:useLocalDpi xmlns:a14="http://schemas.microsoft.com/office/drawing/2010/main" val="0"/>
                        </a:ext>
                      </a:extLst>
                    </a:blip>
                    <a:stretch>
                      <a:fillRect/>
                    </a:stretch>
                  </pic:blipFill>
                  <pic:spPr>
                    <a:xfrm>
                      <a:off x="0" y="0"/>
                      <a:ext cx="3168650" cy="1600200"/>
                    </a:xfrm>
                    <a:prstGeom prst="rect">
                      <a:avLst/>
                    </a:prstGeom>
                  </pic:spPr>
                </pic:pic>
              </a:graphicData>
            </a:graphic>
            <wp14:sizeRelH relativeFrom="page">
              <wp14:pctWidth>0</wp14:pctWidth>
            </wp14:sizeRelH>
            <wp14:sizeRelV relativeFrom="page">
              <wp14:pctHeight>0</wp14:pctHeight>
            </wp14:sizeRelV>
          </wp:anchor>
        </w:drawing>
      </w:r>
    </w:p>
    <w:p w14:paraId="5CBA88B1" w14:textId="77777777" w:rsidR="009E6E5D" w:rsidRDefault="009E6E5D"/>
    <w:p w14:paraId="7B1ACD15" w14:textId="77777777" w:rsidR="009E6E5D" w:rsidRDefault="009E6E5D"/>
    <w:p w14:paraId="4E3A9637" w14:textId="77777777" w:rsidR="009E6E5D" w:rsidRDefault="009E6E5D"/>
    <w:p w14:paraId="38A191ED" w14:textId="77777777" w:rsidR="009E6E5D" w:rsidRDefault="009E6E5D"/>
    <w:p w14:paraId="2967F1B0" w14:textId="77777777" w:rsidR="009E6E5D" w:rsidRDefault="009E6E5D"/>
    <w:p w14:paraId="13AFB672" w14:textId="77777777" w:rsidR="009E6E5D" w:rsidRDefault="009E6E5D"/>
    <w:p w14:paraId="56F6EE28" w14:textId="77777777" w:rsidR="009E6E5D" w:rsidRDefault="009E6E5D"/>
    <w:p w14:paraId="5A1B5DF4" w14:textId="77777777" w:rsidR="009E6E5D" w:rsidRDefault="009E6E5D"/>
    <w:p w14:paraId="2B3841B9" w14:textId="77777777" w:rsidR="008841DA" w:rsidRDefault="008841DA">
      <w:pPr>
        <w:rPr>
          <w:rFonts w:ascii="Century Gothic" w:hAnsi="Century Gothic"/>
        </w:rPr>
      </w:pPr>
    </w:p>
    <w:p w14:paraId="283E25A2" w14:textId="77777777" w:rsidR="009E6E5D" w:rsidRPr="00A8317F" w:rsidRDefault="009E6E5D">
      <w:pPr>
        <w:rPr>
          <w:rFonts w:ascii="Arial" w:hAnsi="Arial" w:cs="Arial"/>
        </w:rPr>
      </w:pPr>
      <w:r w:rsidRPr="00A8317F">
        <w:rPr>
          <w:rFonts w:ascii="Arial" w:hAnsi="Arial" w:cs="Arial"/>
        </w:rPr>
        <w:t>Bespoke Professional Development and Training Limited</w:t>
      </w:r>
    </w:p>
    <w:p w14:paraId="73368001" w14:textId="77777777" w:rsidR="009E6E5D" w:rsidRPr="00A8317F" w:rsidRDefault="009E6E5D">
      <w:pPr>
        <w:rPr>
          <w:rFonts w:ascii="Arial" w:hAnsi="Arial" w:cs="Arial"/>
        </w:rPr>
      </w:pPr>
    </w:p>
    <w:p w14:paraId="0E9F2BF3" w14:textId="7DC8E0E4" w:rsidR="009E6E5D" w:rsidRPr="006637C4" w:rsidRDefault="001C46E8">
      <w:pPr>
        <w:rPr>
          <w:rFonts w:ascii="Arial" w:hAnsi="Arial" w:cs="Arial"/>
          <w:b/>
          <w:sz w:val="32"/>
        </w:rPr>
      </w:pPr>
      <w:r>
        <w:rPr>
          <w:rFonts w:ascii="Arial" w:hAnsi="Arial" w:cs="Arial"/>
          <w:b/>
          <w:sz w:val="32"/>
        </w:rPr>
        <w:t xml:space="preserve">IV &amp; EV </w:t>
      </w:r>
      <w:r w:rsidR="0083110F">
        <w:rPr>
          <w:rFonts w:ascii="Arial" w:hAnsi="Arial" w:cs="Arial"/>
          <w:b/>
          <w:sz w:val="32"/>
        </w:rPr>
        <w:t xml:space="preserve">Policy </w:t>
      </w:r>
    </w:p>
    <w:p w14:paraId="597FC45A" w14:textId="1C8E5583" w:rsidR="009E6E5D" w:rsidRPr="00A8317F" w:rsidRDefault="009E6E5D">
      <w:pPr>
        <w:rPr>
          <w:rFonts w:ascii="Arial" w:hAnsi="Arial" w:cs="Arial"/>
        </w:rPr>
      </w:pPr>
      <w:r w:rsidRPr="00A8317F">
        <w:rPr>
          <w:rFonts w:ascii="Arial" w:hAnsi="Arial" w:cs="Arial"/>
        </w:rPr>
        <w:t xml:space="preserve">Updated: </w:t>
      </w:r>
      <w:r w:rsidR="00D3565A" w:rsidRPr="00A8317F">
        <w:rPr>
          <w:rFonts w:ascii="Arial" w:hAnsi="Arial" w:cs="Arial"/>
        </w:rPr>
        <w:t>Ju</w:t>
      </w:r>
      <w:r w:rsidR="006637C4">
        <w:rPr>
          <w:rFonts w:ascii="Arial" w:hAnsi="Arial" w:cs="Arial"/>
        </w:rPr>
        <w:t>ne</w:t>
      </w:r>
      <w:r w:rsidR="008841DA" w:rsidRPr="00A8317F">
        <w:rPr>
          <w:rFonts w:ascii="Arial" w:hAnsi="Arial" w:cs="Arial"/>
        </w:rPr>
        <w:t xml:space="preserve"> 20</w:t>
      </w:r>
      <w:r w:rsidR="005029E0" w:rsidRPr="00A8317F">
        <w:rPr>
          <w:rFonts w:ascii="Arial" w:hAnsi="Arial" w:cs="Arial"/>
        </w:rPr>
        <w:t>2</w:t>
      </w:r>
      <w:r w:rsidR="006637C4">
        <w:rPr>
          <w:rFonts w:ascii="Arial" w:hAnsi="Arial" w:cs="Arial"/>
        </w:rPr>
        <w:t>1</w:t>
      </w:r>
    </w:p>
    <w:p w14:paraId="3438DBE3" w14:textId="1C63DA98" w:rsidR="009E6E5D" w:rsidRDefault="009E6E5D">
      <w:pPr>
        <w:rPr>
          <w:rFonts w:ascii="Arial" w:hAnsi="Arial" w:cs="Arial"/>
        </w:rPr>
      </w:pPr>
      <w:r w:rsidRPr="00A8317F">
        <w:rPr>
          <w:rFonts w:ascii="Arial" w:hAnsi="Arial" w:cs="Arial"/>
        </w:rPr>
        <w:t xml:space="preserve">Next renew due: </w:t>
      </w:r>
      <w:r w:rsidR="006F1D35">
        <w:rPr>
          <w:rFonts w:ascii="Arial" w:hAnsi="Arial" w:cs="Arial"/>
        </w:rPr>
        <w:t>May</w:t>
      </w:r>
      <w:r w:rsidR="008841DA" w:rsidRPr="00A8317F">
        <w:rPr>
          <w:rFonts w:ascii="Arial" w:hAnsi="Arial" w:cs="Arial"/>
        </w:rPr>
        <w:t xml:space="preserve"> 202</w:t>
      </w:r>
      <w:r w:rsidR="006637C4">
        <w:rPr>
          <w:rFonts w:ascii="Arial" w:hAnsi="Arial" w:cs="Arial"/>
        </w:rPr>
        <w:t>2</w:t>
      </w:r>
    </w:p>
    <w:p w14:paraId="7E2E273E" w14:textId="77777777" w:rsidR="006637C4" w:rsidRPr="006637C4" w:rsidRDefault="006637C4">
      <w:pPr>
        <w:rPr>
          <w:rFonts w:ascii="Arial" w:hAnsi="Arial" w:cs="Arial"/>
        </w:rPr>
      </w:pPr>
    </w:p>
    <w:tbl>
      <w:tblPr>
        <w:tblStyle w:val="TableGrid"/>
        <w:tblW w:w="0" w:type="auto"/>
        <w:tblLook w:val="04A0" w:firstRow="1" w:lastRow="0" w:firstColumn="1" w:lastColumn="0" w:noHBand="0" w:noVBand="1"/>
      </w:tblPr>
      <w:tblGrid>
        <w:gridCol w:w="2689"/>
        <w:gridCol w:w="3118"/>
        <w:gridCol w:w="4643"/>
      </w:tblGrid>
      <w:tr w:rsidR="006637C4" w14:paraId="44867A6A" w14:textId="77777777" w:rsidTr="006637C4">
        <w:tc>
          <w:tcPr>
            <w:tcW w:w="2689" w:type="dxa"/>
          </w:tcPr>
          <w:p w14:paraId="15D11646" w14:textId="4301A219" w:rsidR="006637C4" w:rsidRPr="006637C4" w:rsidRDefault="006637C4">
            <w:pPr>
              <w:rPr>
                <w:rFonts w:ascii="Century Gothic" w:hAnsi="Century Gothic"/>
                <w:b/>
                <w:bCs/>
              </w:rPr>
            </w:pPr>
            <w:r w:rsidRPr="006637C4">
              <w:rPr>
                <w:rFonts w:ascii="Century Gothic" w:hAnsi="Century Gothic"/>
                <w:b/>
                <w:bCs/>
              </w:rPr>
              <w:t>Version Number</w:t>
            </w:r>
          </w:p>
        </w:tc>
        <w:tc>
          <w:tcPr>
            <w:tcW w:w="3118" w:type="dxa"/>
          </w:tcPr>
          <w:p w14:paraId="115043E3" w14:textId="0437B0C5" w:rsidR="006637C4" w:rsidRPr="006637C4" w:rsidRDefault="006637C4">
            <w:pPr>
              <w:rPr>
                <w:rFonts w:ascii="Century Gothic" w:hAnsi="Century Gothic"/>
                <w:b/>
                <w:bCs/>
              </w:rPr>
            </w:pPr>
            <w:r w:rsidRPr="006637C4">
              <w:rPr>
                <w:rFonts w:ascii="Century Gothic" w:hAnsi="Century Gothic"/>
                <w:b/>
                <w:bCs/>
              </w:rPr>
              <w:t>Last Amended</w:t>
            </w:r>
          </w:p>
        </w:tc>
        <w:tc>
          <w:tcPr>
            <w:tcW w:w="4643" w:type="dxa"/>
          </w:tcPr>
          <w:p w14:paraId="4F4927BE" w14:textId="0A950B2D" w:rsidR="006637C4" w:rsidRPr="006637C4" w:rsidRDefault="006637C4">
            <w:pPr>
              <w:rPr>
                <w:rFonts w:ascii="Century Gothic" w:hAnsi="Century Gothic"/>
                <w:b/>
                <w:bCs/>
              </w:rPr>
            </w:pPr>
            <w:r w:rsidRPr="006637C4">
              <w:rPr>
                <w:rFonts w:ascii="Century Gothic" w:hAnsi="Century Gothic"/>
                <w:b/>
                <w:bCs/>
              </w:rPr>
              <w:t>Amended By-</w:t>
            </w:r>
          </w:p>
        </w:tc>
      </w:tr>
      <w:tr w:rsidR="006637C4" w14:paraId="60012805" w14:textId="77777777" w:rsidTr="006637C4">
        <w:tc>
          <w:tcPr>
            <w:tcW w:w="2689" w:type="dxa"/>
          </w:tcPr>
          <w:p w14:paraId="76131EE7" w14:textId="0E7150EC" w:rsidR="006637C4" w:rsidRDefault="000C400E">
            <w:pPr>
              <w:rPr>
                <w:rFonts w:ascii="Century Gothic" w:hAnsi="Century Gothic"/>
              </w:rPr>
            </w:pPr>
            <w:r>
              <w:rPr>
                <w:rFonts w:ascii="Century Gothic" w:hAnsi="Century Gothic"/>
              </w:rPr>
              <w:t>v</w:t>
            </w:r>
            <w:r w:rsidR="006637C4">
              <w:rPr>
                <w:rFonts w:ascii="Century Gothic" w:hAnsi="Century Gothic"/>
              </w:rPr>
              <w:t>1</w:t>
            </w:r>
          </w:p>
        </w:tc>
        <w:tc>
          <w:tcPr>
            <w:tcW w:w="3118" w:type="dxa"/>
          </w:tcPr>
          <w:p w14:paraId="5695816C" w14:textId="291ACF8A" w:rsidR="006637C4" w:rsidRDefault="006637C4">
            <w:pPr>
              <w:rPr>
                <w:rFonts w:ascii="Century Gothic" w:hAnsi="Century Gothic"/>
              </w:rPr>
            </w:pPr>
            <w:r>
              <w:rPr>
                <w:rFonts w:ascii="Century Gothic" w:hAnsi="Century Gothic"/>
              </w:rPr>
              <w:t>July 2019</w:t>
            </w:r>
          </w:p>
        </w:tc>
        <w:tc>
          <w:tcPr>
            <w:tcW w:w="4643" w:type="dxa"/>
          </w:tcPr>
          <w:p w14:paraId="4092EFAA" w14:textId="5C6F187A" w:rsidR="006637C4" w:rsidRDefault="006637C4">
            <w:pPr>
              <w:rPr>
                <w:rFonts w:ascii="Century Gothic" w:hAnsi="Century Gothic"/>
              </w:rPr>
            </w:pPr>
            <w:r>
              <w:rPr>
                <w:rFonts w:ascii="Century Gothic" w:hAnsi="Century Gothic"/>
              </w:rPr>
              <w:t>Tracey Carter</w:t>
            </w:r>
          </w:p>
        </w:tc>
      </w:tr>
      <w:tr w:rsidR="006637C4" w14:paraId="6D5C5C9E" w14:textId="77777777" w:rsidTr="006637C4">
        <w:tc>
          <w:tcPr>
            <w:tcW w:w="2689" w:type="dxa"/>
          </w:tcPr>
          <w:p w14:paraId="27692ACC" w14:textId="2C3A3704" w:rsidR="006637C4" w:rsidRDefault="000C400E">
            <w:pPr>
              <w:rPr>
                <w:rFonts w:ascii="Century Gothic" w:hAnsi="Century Gothic"/>
              </w:rPr>
            </w:pPr>
            <w:r>
              <w:rPr>
                <w:rFonts w:ascii="Century Gothic" w:hAnsi="Century Gothic"/>
              </w:rPr>
              <w:t>v</w:t>
            </w:r>
            <w:r w:rsidR="006637C4">
              <w:rPr>
                <w:rFonts w:ascii="Century Gothic" w:hAnsi="Century Gothic"/>
              </w:rPr>
              <w:t>2</w:t>
            </w:r>
          </w:p>
        </w:tc>
        <w:tc>
          <w:tcPr>
            <w:tcW w:w="3118" w:type="dxa"/>
          </w:tcPr>
          <w:p w14:paraId="089BABEE" w14:textId="78156209" w:rsidR="006637C4" w:rsidRDefault="006637C4">
            <w:pPr>
              <w:rPr>
                <w:rFonts w:ascii="Century Gothic" w:hAnsi="Century Gothic"/>
              </w:rPr>
            </w:pPr>
            <w:r>
              <w:rPr>
                <w:rFonts w:ascii="Century Gothic" w:hAnsi="Century Gothic"/>
              </w:rPr>
              <w:t>July 2020</w:t>
            </w:r>
          </w:p>
        </w:tc>
        <w:tc>
          <w:tcPr>
            <w:tcW w:w="4643" w:type="dxa"/>
          </w:tcPr>
          <w:p w14:paraId="571F7871" w14:textId="3B20F83E" w:rsidR="006637C4" w:rsidRDefault="006637C4">
            <w:pPr>
              <w:rPr>
                <w:rFonts w:ascii="Century Gothic" w:hAnsi="Century Gothic"/>
              </w:rPr>
            </w:pPr>
            <w:r>
              <w:rPr>
                <w:rFonts w:ascii="Century Gothic" w:hAnsi="Century Gothic"/>
              </w:rPr>
              <w:t>Tracey Carter</w:t>
            </w:r>
          </w:p>
        </w:tc>
      </w:tr>
      <w:tr w:rsidR="006637C4" w14:paraId="76B19AB1" w14:textId="77777777" w:rsidTr="006637C4">
        <w:tc>
          <w:tcPr>
            <w:tcW w:w="2689" w:type="dxa"/>
          </w:tcPr>
          <w:p w14:paraId="0B5A03E0" w14:textId="505D60A8" w:rsidR="006637C4" w:rsidRDefault="000C400E">
            <w:pPr>
              <w:rPr>
                <w:rFonts w:ascii="Century Gothic" w:hAnsi="Century Gothic"/>
              </w:rPr>
            </w:pPr>
            <w:r>
              <w:rPr>
                <w:rFonts w:ascii="Century Gothic" w:hAnsi="Century Gothic"/>
              </w:rPr>
              <w:t>v</w:t>
            </w:r>
            <w:r w:rsidR="006637C4">
              <w:rPr>
                <w:rFonts w:ascii="Century Gothic" w:hAnsi="Century Gothic"/>
              </w:rPr>
              <w:t>3</w:t>
            </w:r>
          </w:p>
        </w:tc>
        <w:tc>
          <w:tcPr>
            <w:tcW w:w="3118" w:type="dxa"/>
          </w:tcPr>
          <w:p w14:paraId="17536033" w14:textId="07779CB0" w:rsidR="006637C4" w:rsidRDefault="006637C4">
            <w:pPr>
              <w:rPr>
                <w:rFonts w:ascii="Century Gothic" w:hAnsi="Century Gothic"/>
              </w:rPr>
            </w:pPr>
            <w:r>
              <w:rPr>
                <w:rFonts w:ascii="Century Gothic" w:hAnsi="Century Gothic"/>
              </w:rPr>
              <w:t>June 2021</w:t>
            </w:r>
          </w:p>
        </w:tc>
        <w:tc>
          <w:tcPr>
            <w:tcW w:w="4643" w:type="dxa"/>
          </w:tcPr>
          <w:p w14:paraId="749E445D" w14:textId="18623EEB" w:rsidR="006637C4" w:rsidRDefault="006637C4">
            <w:pPr>
              <w:rPr>
                <w:rFonts w:ascii="Century Gothic" w:hAnsi="Century Gothic"/>
              </w:rPr>
            </w:pPr>
            <w:r>
              <w:rPr>
                <w:rFonts w:ascii="Century Gothic" w:hAnsi="Century Gothic"/>
              </w:rPr>
              <w:t>Tracey Carter</w:t>
            </w:r>
          </w:p>
        </w:tc>
      </w:tr>
      <w:tr w:rsidR="006637C4" w14:paraId="72206395" w14:textId="77777777" w:rsidTr="006637C4">
        <w:tc>
          <w:tcPr>
            <w:tcW w:w="2689" w:type="dxa"/>
          </w:tcPr>
          <w:p w14:paraId="168882B2" w14:textId="77777777" w:rsidR="006637C4" w:rsidRDefault="006637C4">
            <w:pPr>
              <w:rPr>
                <w:rFonts w:ascii="Century Gothic" w:hAnsi="Century Gothic"/>
              </w:rPr>
            </w:pPr>
          </w:p>
        </w:tc>
        <w:tc>
          <w:tcPr>
            <w:tcW w:w="3118" w:type="dxa"/>
          </w:tcPr>
          <w:p w14:paraId="0E0AAD06" w14:textId="77777777" w:rsidR="006637C4" w:rsidRDefault="006637C4">
            <w:pPr>
              <w:rPr>
                <w:rFonts w:ascii="Century Gothic" w:hAnsi="Century Gothic"/>
              </w:rPr>
            </w:pPr>
          </w:p>
        </w:tc>
        <w:tc>
          <w:tcPr>
            <w:tcW w:w="4643" w:type="dxa"/>
          </w:tcPr>
          <w:p w14:paraId="4A9C8829" w14:textId="77777777" w:rsidR="006637C4" w:rsidRDefault="006637C4">
            <w:pPr>
              <w:rPr>
                <w:rFonts w:ascii="Century Gothic" w:hAnsi="Century Gothic"/>
              </w:rPr>
            </w:pPr>
          </w:p>
        </w:tc>
      </w:tr>
    </w:tbl>
    <w:p w14:paraId="247813CD" w14:textId="7667610F" w:rsidR="000B78C7" w:rsidRPr="006637C4" w:rsidRDefault="006637C4">
      <w:pPr>
        <w:rPr>
          <w:rFonts w:ascii="Century Gothic" w:hAnsi="Century Gothic"/>
        </w:rPr>
      </w:pPr>
      <w:r w:rsidRPr="00A8317F">
        <w:rPr>
          <w:rFonts w:ascii="Arial" w:hAnsi="Arial" w:cs="Arial"/>
          <w:b/>
          <w:noProof/>
          <w:sz w:val="32"/>
          <w:lang w:val="en-US"/>
        </w:rPr>
        <w:drawing>
          <wp:anchor distT="0" distB="0" distL="114300" distR="114300" simplePos="0" relativeHeight="251658240" behindDoc="0" locked="0" layoutInCell="1" allowOverlap="1" wp14:anchorId="4DD1EFBE" wp14:editId="504A8959">
            <wp:simplePos x="0" y="0"/>
            <wp:positionH relativeFrom="page">
              <wp:align>left</wp:align>
            </wp:positionH>
            <wp:positionV relativeFrom="paragraph">
              <wp:posOffset>279400</wp:posOffset>
            </wp:positionV>
            <wp:extent cx="8915400" cy="5052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0 at 21.27.45.png"/>
                    <pic:cNvPicPr/>
                  </pic:nvPicPr>
                  <pic:blipFill>
                    <a:blip r:embed="rId12">
                      <a:extLst>
                        <a:ext uri="{28A0092B-C50C-407E-A947-70E740481C1C}">
                          <a14:useLocalDpi xmlns:a14="http://schemas.microsoft.com/office/drawing/2010/main" val="0"/>
                        </a:ext>
                      </a:extLst>
                    </a:blip>
                    <a:stretch>
                      <a:fillRect/>
                    </a:stretch>
                  </pic:blipFill>
                  <pic:spPr>
                    <a:xfrm>
                      <a:off x="0" y="0"/>
                      <a:ext cx="8915400" cy="5052060"/>
                    </a:xfrm>
                    <a:prstGeom prst="rect">
                      <a:avLst/>
                    </a:prstGeom>
                  </pic:spPr>
                </pic:pic>
              </a:graphicData>
            </a:graphic>
            <wp14:sizeRelH relativeFrom="page">
              <wp14:pctWidth>0</wp14:pctWidth>
            </wp14:sizeRelH>
            <wp14:sizeRelV relativeFrom="page">
              <wp14:pctHeight>0</wp14:pctHeight>
            </wp14:sizeRelV>
          </wp:anchor>
        </w:drawing>
      </w:r>
    </w:p>
    <w:p w14:paraId="4C2D9092" w14:textId="5237AB50" w:rsidR="003E7E7B" w:rsidRPr="0099211D" w:rsidRDefault="00EC1062" w:rsidP="003E7E7B">
      <w:pPr>
        <w:spacing w:before="100" w:beforeAutospacing="1" w:after="100" w:afterAutospacing="1"/>
        <w:rPr>
          <w:rFonts w:ascii="Arial" w:eastAsia="Times New Roman" w:hAnsi="Arial" w:cs="Arial"/>
          <w:b/>
          <w:bCs/>
          <w:color w:val="298DAF"/>
          <w:sz w:val="40"/>
          <w:szCs w:val="40"/>
          <w:lang w:eastAsia="en-GB"/>
        </w:rPr>
      </w:pPr>
      <w:r w:rsidRPr="0099211D">
        <w:rPr>
          <w:rFonts w:ascii="Arial" w:eastAsia="Times New Roman" w:hAnsi="Arial" w:cs="Arial"/>
          <w:b/>
          <w:bCs/>
          <w:color w:val="298DAF"/>
          <w:sz w:val="40"/>
          <w:szCs w:val="40"/>
          <w:lang w:eastAsia="en-GB"/>
        </w:rPr>
        <w:lastRenderedPageBreak/>
        <w:t>Background</w:t>
      </w:r>
    </w:p>
    <w:p w14:paraId="35184707" w14:textId="333CB691" w:rsidR="009E3D14" w:rsidRDefault="00181136" w:rsidP="00181136">
      <w:pPr>
        <w:pStyle w:val="Blockquote"/>
        <w:ind w:left="0" w:right="0"/>
        <w:jc w:val="both"/>
        <w:rPr>
          <w:rFonts w:ascii="Arial" w:hAnsi="Arial" w:cs="Arial"/>
          <w:szCs w:val="24"/>
        </w:rPr>
      </w:pPr>
      <w:r>
        <w:rPr>
          <w:rFonts w:ascii="Arial" w:hAnsi="Arial" w:cs="Arial"/>
          <w:szCs w:val="24"/>
        </w:rPr>
        <w:t xml:space="preserve">The purpose of internal verification is to ensure that the </w:t>
      </w:r>
      <w:proofErr w:type="spellStart"/>
      <w:r>
        <w:rPr>
          <w:rFonts w:ascii="Arial" w:hAnsi="Arial" w:cs="Arial"/>
          <w:szCs w:val="24"/>
        </w:rPr>
        <w:t>princlpes</w:t>
      </w:r>
      <w:proofErr w:type="spellEnd"/>
      <w:r>
        <w:rPr>
          <w:rFonts w:ascii="Arial" w:hAnsi="Arial" w:cs="Arial"/>
          <w:szCs w:val="24"/>
        </w:rPr>
        <w:t xml:space="preserve"> of assessment are met, in line with awarding body requirements.</w:t>
      </w:r>
    </w:p>
    <w:p w14:paraId="3B349E5C" w14:textId="77777777" w:rsidR="00BB50CF" w:rsidRDefault="00BB50CF" w:rsidP="00181136">
      <w:pPr>
        <w:pStyle w:val="Blockquote"/>
        <w:ind w:left="0" w:right="0"/>
        <w:jc w:val="both"/>
        <w:rPr>
          <w:rFonts w:ascii="Arial" w:hAnsi="Arial" w:cs="Arial"/>
          <w:szCs w:val="24"/>
        </w:rPr>
      </w:pPr>
    </w:p>
    <w:p w14:paraId="308F60AF" w14:textId="234FE202" w:rsidR="00181136" w:rsidRDefault="00181136" w:rsidP="00181136">
      <w:pPr>
        <w:pStyle w:val="Blockquote"/>
        <w:ind w:left="0" w:right="0"/>
        <w:jc w:val="both"/>
        <w:rPr>
          <w:rFonts w:ascii="Arial" w:hAnsi="Arial" w:cs="Arial"/>
          <w:szCs w:val="24"/>
        </w:rPr>
      </w:pPr>
      <w:r>
        <w:rPr>
          <w:rFonts w:ascii="Arial" w:hAnsi="Arial" w:cs="Arial"/>
          <w:szCs w:val="24"/>
        </w:rPr>
        <w:t xml:space="preserve">Internal </w:t>
      </w:r>
      <w:r w:rsidR="00BB50CF">
        <w:rPr>
          <w:rFonts w:ascii="Arial" w:hAnsi="Arial" w:cs="Arial"/>
          <w:szCs w:val="24"/>
        </w:rPr>
        <w:t>verification uses a range of processes to ensure that:</w:t>
      </w:r>
    </w:p>
    <w:p w14:paraId="4A9E3AA5" w14:textId="21D27F20" w:rsidR="00BB50CF" w:rsidRDefault="00530758" w:rsidP="00530758">
      <w:pPr>
        <w:pStyle w:val="Blockquote"/>
        <w:numPr>
          <w:ilvl w:val="0"/>
          <w:numId w:val="20"/>
        </w:numPr>
        <w:ind w:right="0"/>
        <w:jc w:val="both"/>
        <w:rPr>
          <w:rFonts w:ascii="Arial" w:hAnsi="Arial" w:cs="Arial"/>
          <w:szCs w:val="24"/>
        </w:rPr>
      </w:pPr>
      <w:r>
        <w:rPr>
          <w:rFonts w:ascii="Arial" w:hAnsi="Arial" w:cs="Arial"/>
          <w:szCs w:val="24"/>
        </w:rPr>
        <w:t xml:space="preserve">Assessment </w:t>
      </w:r>
      <w:proofErr w:type="gramStart"/>
      <w:r>
        <w:rPr>
          <w:rFonts w:ascii="Arial" w:hAnsi="Arial" w:cs="Arial"/>
          <w:szCs w:val="24"/>
        </w:rPr>
        <w:t>generate</w:t>
      </w:r>
      <w:proofErr w:type="gramEnd"/>
      <w:r>
        <w:rPr>
          <w:rFonts w:ascii="Arial" w:hAnsi="Arial" w:cs="Arial"/>
          <w:szCs w:val="24"/>
        </w:rPr>
        <w:t xml:space="preserve"> </w:t>
      </w:r>
      <w:r w:rsidR="006854C0">
        <w:rPr>
          <w:rFonts w:ascii="Arial" w:hAnsi="Arial" w:cs="Arial"/>
          <w:szCs w:val="24"/>
        </w:rPr>
        <w:t xml:space="preserve">sufficient </w:t>
      </w:r>
      <w:r w:rsidR="00E47F13">
        <w:rPr>
          <w:rFonts w:ascii="Arial" w:hAnsi="Arial" w:cs="Arial"/>
          <w:szCs w:val="24"/>
        </w:rPr>
        <w:t xml:space="preserve">evidence to allow candidates to demonstrate </w:t>
      </w:r>
      <w:r w:rsidR="001361BA">
        <w:rPr>
          <w:rFonts w:ascii="Arial" w:hAnsi="Arial" w:cs="Arial"/>
          <w:szCs w:val="24"/>
        </w:rPr>
        <w:t xml:space="preserve">that they have met the required standards </w:t>
      </w:r>
    </w:p>
    <w:p w14:paraId="2363C026" w14:textId="6509769E" w:rsidR="001361BA" w:rsidRDefault="001361BA" w:rsidP="00530758">
      <w:pPr>
        <w:pStyle w:val="Blockquote"/>
        <w:numPr>
          <w:ilvl w:val="0"/>
          <w:numId w:val="20"/>
        </w:numPr>
        <w:ind w:right="0"/>
        <w:jc w:val="both"/>
        <w:rPr>
          <w:rFonts w:ascii="Arial" w:hAnsi="Arial" w:cs="Arial"/>
          <w:szCs w:val="24"/>
        </w:rPr>
      </w:pPr>
      <w:r>
        <w:rPr>
          <w:rFonts w:ascii="Arial" w:hAnsi="Arial" w:cs="Arial"/>
          <w:szCs w:val="24"/>
        </w:rPr>
        <w:t>All assessors are familiar with the awarding organisations standards</w:t>
      </w:r>
    </w:p>
    <w:p w14:paraId="37186FF4" w14:textId="57928969" w:rsidR="001361BA" w:rsidRPr="009E3D14" w:rsidRDefault="001361BA" w:rsidP="00530758">
      <w:pPr>
        <w:pStyle w:val="Blockquote"/>
        <w:numPr>
          <w:ilvl w:val="0"/>
          <w:numId w:val="20"/>
        </w:numPr>
        <w:ind w:right="0"/>
        <w:jc w:val="both"/>
        <w:rPr>
          <w:rFonts w:ascii="Arial" w:hAnsi="Arial" w:cs="Arial"/>
          <w:szCs w:val="24"/>
        </w:rPr>
      </w:pPr>
      <w:r>
        <w:rPr>
          <w:rFonts w:ascii="Arial" w:hAnsi="Arial" w:cs="Arial"/>
          <w:szCs w:val="24"/>
        </w:rPr>
        <w:t xml:space="preserve">Assessors reach </w:t>
      </w:r>
      <w:r w:rsidR="002C0933">
        <w:rPr>
          <w:rFonts w:ascii="Arial" w:hAnsi="Arial" w:cs="Arial"/>
          <w:szCs w:val="24"/>
        </w:rPr>
        <w:t xml:space="preserve">accurate and consistent </w:t>
      </w:r>
      <w:proofErr w:type="spellStart"/>
      <w:r w:rsidR="002C0933">
        <w:rPr>
          <w:rFonts w:ascii="Arial" w:hAnsi="Arial" w:cs="Arial"/>
          <w:szCs w:val="24"/>
        </w:rPr>
        <w:t>descions</w:t>
      </w:r>
      <w:proofErr w:type="spellEnd"/>
      <w:r w:rsidR="002C0933">
        <w:rPr>
          <w:rFonts w:ascii="Arial" w:hAnsi="Arial" w:cs="Arial"/>
          <w:szCs w:val="24"/>
        </w:rPr>
        <w:t xml:space="preserve"> for the same qualification for all candidates in centre in line with awarding </w:t>
      </w:r>
      <w:r w:rsidR="00CA2D09">
        <w:rPr>
          <w:rFonts w:ascii="Arial" w:hAnsi="Arial" w:cs="Arial"/>
          <w:szCs w:val="24"/>
        </w:rPr>
        <w:t>organisation requirements</w:t>
      </w:r>
    </w:p>
    <w:p w14:paraId="6633F358" w14:textId="77777777" w:rsidR="00EC1062" w:rsidRPr="0099211D" w:rsidRDefault="00EC1062" w:rsidP="00EC1062">
      <w:pPr>
        <w:rPr>
          <w:rFonts w:ascii="Arial" w:hAnsi="Arial" w:cs="Arial"/>
          <w:sz w:val="40"/>
          <w:szCs w:val="40"/>
        </w:rPr>
      </w:pPr>
    </w:p>
    <w:p w14:paraId="720B5513" w14:textId="01C9C35E" w:rsidR="00EC1062" w:rsidRPr="0099211D" w:rsidRDefault="00CA2D09" w:rsidP="00EC1062">
      <w:pPr>
        <w:rPr>
          <w:rFonts w:ascii="Arial" w:eastAsia="Times New Roman" w:hAnsi="Arial" w:cs="Arial"/>
          <w:b/>
          <w:bCs/>
          <w:color w:val="4BACC6" w:themeColor="accent5"/>
          <w:sz w:val="40"/>
          <w:szCs w:val="40"/>
          <w:lang w:eastAsia="en-GB"/>
        </w:rPr>
      </w:pPr>
      <w:r>
        <w:rPr>
          <w:rFonts w:ascii="Arial" w:eastAsia="Times New Roman" w:hAnsi="Arial" w:cs="Arial"/>
          <w:b/>
          <w:bCs/>
          <w:color w:val="4BACC6" w:themeColor="accent5"/>
          <w:sz w:val="40"/>
          <w:szCs w:val="40"/>
          <w:lang w:eastAsia="en-GB"/>
        </w:rPr>
        <w:t xml:space="preserve">Internal Verifier Roles and </w:t>
      </w:r>
      <w:proofErr w:type="spellStart"/>
      <w:r>
        <w:rPr>
          <w:rFonts w:ascii="Arial" w:eastAsia="Times New Roman" w:hAnsi="Arial" w:cs="Arial"/>
          <w:b/>
          <w:bCs/>
          <w:color w:val="4BACC6" w:themeColor="accent5"/>
          <w:sz w:val="40"/>
          <w:szCs w:val="40"/>
          <w:lang w:eastAsia="en-GB"/>
        </w:rPr>
        <w:t>Responsibities</w:t>
      </w:r>
      <w:proofErr w:type="spellEnd"/>
      <w:r>
        <w:rPr>
          <w:rFonts w:ascii="Arial" w:eastAsia="Times New Roman" w:hAnsi="Arial" w:cs="Arial"/>
          <w:b/>
          <w:bCs/>
          <w:color w:val="4BACC6" w:themeColor="accent5"/>
          <w:sz w:val="40"/>
          <w:szCs w:val="40"/>
          <w:lang w:eastAsia="en-GB"/>
        </w:rPr>
        <w:t xml:space="preserve"> </w:t>
      </w:r>
    </w:p>
    <w:p w14:paraId="26486498" w14:textId="77777777" w:rsidR="00585ABF" w:rsidRDefault="00585ABF" w:rsidP="00EC1062"/>
    <w:p w14:paraId="544BD780" w14:textId="76CCB4FE" w:rsidR="00EC1062" w:rsidRPr="00D51A9A" w:rsidRDefault="00585ABF" w:rsidP="00EC1062">
      <w:pPr>
        <w:rPr>
          <w:rFonts w:ascii="Arial" w:hAnsi="Arial" w:cs="Arial"/>
        </w:rPr>
      </w:pPr>
      <w:r w:rsidRPr="00D51A9A">
        <w:rPr>
          <w:rFonts w:ascii="Arial" w:hAnsi="Arial" w:cs="Arial"/>
        </w:rPr>
        <w:t xml:space="preserve">The role of an Internal Verifier is of paramount importance to the overall success, </w:t>
      </w:r>
      <w:proofErr w:type="gramStart"/>
      <w:r w:rsidRPr="00D51A9A">
        <w:rPr>
          <w:rFonts w:ascii="Arial" w:hAnsi="Arial" w:cs="Arial"/>
        </w:rPr>
        <w:t>achievement</w:t>
      </w:r>
      <w:proofErr w:type="gramEnd"/>
      <w:r w:rsidRPr="00D51A9A">
        <w:rPr>
          <w:rFonts w:ascii="Arial" w:hAnsi="Arial" w:cs="Arial"/>
        </w:rPr>
        <w:t xml:space="preserve"> and positive outcomes for any qualification. Assessors who deliver and make assessment decisions for candidates need support from their Internal Verifier. The internal verification process is covered by four main areas: 2.1 Verify assessments 2.2 Advise and support assessors 2.3 Maintain records of assessment and internal verification 2.4 Preparing for external visits</w:t>
      </w:r>
    </w:p>
    <w:p w14:paraId="5F165521" w14:textId="77777777" w:rsidR="00585ABF" w:rsidRPr="000A01E3" w:rsidRDefault="00585ABF" w:rsidP="00EC1062">
      <w:pPr>
        <w:rPr>
          <w:rFonts w:ascii="Arial" w:hAnsi="Arial" w:cs="Arial"/>
        </w:rPr>
      </w:pPr>
    </w:p>
    <w:p w14:paraId="5ADAAF89" w14:textId="77777777" w:rsidR="006637C4" w:rsidRDefault="006637C4" w:rsidP="00EC1062">
      <w:pPr>
        <w:rPr>
          <w:rFonts w:ascii="Arial" w:eastAsia="Times New Roman" w:hAnsi="Arial" w:cs="Arial"/>
          <w:b/>
          <w:bCs/>
          <w:color w:val="4BACC6" w:themeColor="accent5"/>
          <w:sz w:val="28"/>
          <w:szCs w:val="28"/>
          <w:lang w:eastAsia="en-GB"/>
        </w:rPr>
      </w:pPr>
    </w:p>
    <w:p w14:paraId="7C973578" w14:textId="1E74D011" w:rsidR="00EC1062" w:rsidRDefault="00585ABF" w:rsidP="00EC1062">
      <w:pPr>
        <w:rPr>
          <w:rFonts w:ascii="Arial" w:eastAsia="Times New Roman" w:hAnsi="Arial" w:cs="Arial"/>
          <w:b/>
          <w:bCs/>
          <w:color w:val="4BACC6" w:themeColor="accent5"/>
          <w:sz w:val="40"/>
          <w:szCs w:val="40"/>
          <w:lang w:eastAsia="en-GB"/>
        </w:rPr>
      </w:pPr>
      <w:r>
        <w:rPr>
          <w:rFonts w:ascii="Arial" w:eastAsia="Times New Roman" w:hAnsi="Arial" w:cs="Arial"/>
          <w:b/>
          <w:bCs/>
          <w:color w:val="4BACC6" w:themeColor="accent5"/>
          <w:sz w:val="40"/>
          <w:szCs w:val="40"/>
          <w:lang w:eastAsia="en-GB"/>
        </w:rPr>
        <w:t xml:space="preserve">Verify Assessments </w:t>
      </w:r>
    </w:p>
    <w:p w14:paraId="025ED281" w14:textId="77777777" w:rsidR="00A16591" w:rsidRPr="00BC233A" w:rsidRDefault="00A16591" w:rsidP="00EC1062">
      <w:pPr>
        <w:rPr>
          <w:rFonts w:ascii="Arial" w:eastAsia="Times New Roman" w:hAnsi="Arial" w:cs="Arial"/>
          <w:b/>
          <w:bCs/>
          <w:color w:val="4BACC6" w:themeColor="accent5"/>
          <w:sz w:val="40"/>
          <w:szCs w:val="40"/>
          <w:lang w:eastAsia="en-GB"/>
        </w:rPr>
      </w:pPr>
    </w:p>
    <w:p w14:paraId="6264A98A" w14:textId="30193EBE" w:rsidR="00BC233A" w:rsidRDefault="00A16591" w:rsidP="00BC233A">
      <w:pPr>
        <w:pStyle w:val="Blockquote"/>
        <w:ind w:left="0" w:right="0"/>
        <w:jc w:val="both"/>
        <w:rPr>
          <w:rFonts w:ascii="Arial" w:hAnsi="Arial" w:cs="Arial"/>
          <w:szCs w:val="24"/>
        </w:rPr>
      </w:pPr>
      <w:r>
        <w:rPr>
          <w:rFonts w:ascii="Arial" w:hAnsi="Arial" w:cs="Arial"/>
          <w:szCs w:val="24"/>
        </w:rPr>
        <w:t>Internal Verifiers are required to:</w:t>
      </w:r>
    </w:p>
    <w:p w14:paraId="5388CEAC" w14:textId="23EDE2A6" w:rsidR="00A16591" w:rsidRDefault="0091061F" w:rsidP="00A16591">
      <w:pPr>
        <w:pStyle w:val="Blockquote"/>
        <w:numPr>
          <w:ilvl w:val="0"/>
          <w:numId w:val="21"/>
        </w:numPr>
        <w:ind w:right="0"/>
        <w:jc w:val="both"/>
        <w:rPr>
          <w:rFonts w:ascii="Arial" w:hAnsi="Arial" w:cs="Arial"/>
          <w:szCs w:val="24"/>
        </w:rPr>
      </w:pPr>
      <w:r>
        <w:rPr>
          <w:rFonts w:ascii="Arial" w:hAnsi="Arial" w:cs="Arial"/>
          <w:szCs w:val="24"/>
        </w:rPr>
        <w:t xml:space="preserve">Sample assessment evidence </w:t>
      </w:r>
    </w:p>
    <w:p w14:paraId="781CB006" w14:textId="202DDB60" w:rsidR="0091061F" w:rsidRDefault="0091061F" w:rsidP="00A16591">
      <w:pPr>
        <w:pStyle w:val="Blockquote"/>
        <w:numPr>
          <w:ilvl w:val="0"/>
          <w:numId w:val="21"/>
        </w:numPr>
        <w:ind w:right="0"/>
        <w:jc w:val="both"/>
        <w:rPr>
          <w:rFonts w:ascii="Arial" w:hAnsi="Arial" w:cs="Arial"/>
          <w:szCs w:val="24"/>
        </w:rPr>
      </w:pPr>
      <w:r>
        <w:rPr>
          <w:rFonts w:ascii="Arial" w:hAnsi="Arial" w:cs="Arial"/>
          <w:szCs w:val="24"/>
        </w:rPr>
        <w:t xml:space="preserve">Verify assessment decisions </w:t>
      </w:r>
    </w:p>
    <w:p w14:paraId="1A45B5C3" w14:textId="2A77C533" w:rsidR="0091061F" w:rsidRDefault="0091061F" w:rsidP="00A16591">
      <w:pPr>
        <w:pStyle w:val="Blockquote"/>
        <w:numPr>
          <w:ilvl w:val="0"/>
          <w:numId w:val="21"/>
        </w:numPr>
        <w:ind w:right="0"/>
        <w:jc w:val="both"/>
        <w:rPr>
          <w:rFonts w:ascii="Arial" w:hAnsi="Arial" w:cs="Arial"/>
          <w:szCs w:val="24"/>
        </w:rPr>
      </w:pPr>
      <w:r>
        <w:rPr>
          <w:rFonts w:ascii="Arial" w:hAnsi="Arial" w:cs="Arial"/>
          <w:szCs w:val="24"/>
        </w:rPr>
        <w:t xml:space="preserve">Ensure that assessments meet the requirements </w:t>
      </w:r>
    </w:p>
    <w:p w14:paraId="4FD4F032" w14:textId="370F909F" w:rsidR="00001311" w:rsidRDefault="00001311" w:rsidP="00001311">
      <w:pPr>
        <w:pStyle w:val="Blockquote"/>
        <w:ind w:left="0" w:right="0"/>
        <w:jc w:val="both"/>
        <w:rPr>
          <w:rFonts w:ascii="Arial" w:hAnsi="Arial" w:cs="Arial"/>
          <w:szCs w:val="24"/>
        </w:rPr>
      </w:pPr>
    </w:p>
    <w:p w14:paraId="6B2BF129" w14:textId="1686558D" w:rsidR="00001311" w:rsidRDefault="0089342D" w:rsidP="00001311">
      <w:pPr>
        <w:pStyle w:val="Blockquote"/>
        <w:ind w:left="0" w:right="0"/>
        <w:jc w:val="both"/>
        <w:rPr>
          <w:rFonts w:ascii="Arial" w:hAnsi="Arial" w:cs="Arial"/>
          <w:szCs w:val="24"/>
        </w:rPr>
      </w:pPr>
      <w:r>
        <w:rPr>
          <w:rFonts w:ascii="Arial" w:hAnsi="Arial" w:cs="Arial"/>
          <w:szCs w:val="24"/>
        </w:rPr>
        <w:t xml:space="preserve">Assignment Verification: all qualifications </w:t>
      </w:r>
    </w:p>
    <w:p w14:paraId="3A8CCC2D" w14:textId="618E1BAB" w:rsidR="0089342D" w:rsidRDefault="0089342D" w:rsidP="00001311">
      <w:pPr>
        <w:pStyle w:val="Blockquote"/>
        <w:ind w:left="0" w:right="0"/>
        <w:jc w:val="both"/>
        <w:rPr>
          <w:rFonts w:ascii="Arial" w:hAnsi="Arial" w:cs="Arial"/>
          <w:szCs w:val="24"/>
        </w:rPr>
      </w:pPr>
      <w:r>
        <w:rPr>
          <w:rFonts w:ascii="Arial" w:hAnsi="Arial" w:cs="Arial"/>
          <w:szCs w:val="24"/>
        </w:rPr>
        <w:t xml:space="preserve">Every assignment </w:t>
      </w:r>
      <w:r w:rsidR="007B54C8">
        <w:rPr>
          <w:rFonts w:ascii="Arial" w:hAnsi="Arial" w:cs="Arial"/>
          <w:szCs w:val="24"/>
        </w:rPr>
        <w:t>will be:</w:t>
      </w:r>
    </w:p>
    <w:p w14:paraId="23C8534D" w14:textId="011943D2" w:rsidR="007B54C8" w:rsidRDefault="007B54C8" w:rsidP="007B54C8">
      <w:pPr>
        <w:pStyle w:val="Blockquote"/>
        <w:numPr>
          <w:ilvl w:val="0"/>
          <w:numId w:val="22"/>
        </w:numPr>
        <w:ind w:right="0"/>
        <w:jc w:val="both"/>
        <w:rPr>
          <w:rFonts w:ascii="Arial" w:hAnsi="Arial" w:cs="Arial"/>
          <w:szCs w:val="24"/>
        </w:rPr>
      </w:pPr>
      <w:r>
        <w:rPr>
          <w:rFonts w:ascii="Arial" w:hAnsi="Arial" w:cs="Arial"/>
          <w:szCs w:val="24"/>
        </w:rPr>
        <w:t xml:space="preserve">Fit for purpose, </w:t>
      </w:r>
      <w:proofErr w:type="spellStart"/>
      <w:proofErr w:type="gramStart"/>
      <w:r>
        <w:rPr>
          <w:rFonts w:ascii="Arial" w:hAnsi="Arial" w:cs="Arial"/>
          <w:szCs w:val="24"/>
        </w:rPr>
        <w:t>I,e</w:t>
      </w:r>
      <w:proofErr w:type="spellEnd"/>
      <w:proofErr w:type="gramEnd"/>
      <w:r>
        <w:rPr>
          <w:rFonts w:ascii="Arial" w:hAnsi="Arial" w:cs="Arial"/>
          <w:szCs w:val="24"/>
        </w:rPr>
        <w:t xml:space="preserve"> </w:t>
      </w:r>
      <w:r w:rsidR="008054A7">
        <w:rPr>
          <w:rFonts w:ascii="Arial" w:hAnsi="Arial" w:cs="Arial"/>
          <w:szCs w:val="24"/>
        </w:rPr>
        <w:t xml:space="preserve">addresses the assessment criteria </w:t>
      </w:r>
      <w:r w:rsidR="00576762">
        <w:rPr>
          <w:rFonts w:ascii="Arial" w:hAnsi="Arial" w:cs="Arial"/>
          <w:szCs w:val="24"/>
        </w:rPr>
        <w:t xml:space="preserve">required by the </w:t>
      </w:r>
      <w:proofErr w:type="spellStart"/>
      <w:r w:rsidR="00576762">
        <w:rPr>
          <w:rFonts w:ascii="Arial" w:hAnsi="Arial" w:cs="Arial"/>
          <w:szCs w:val="24"/>
        </w:rPr>
        <w:t>awrading</w:t>
      </w:r>
      <w:proofErr w:type="spellEnd"/>
      <w:r w:rsidR="00576762">
        <w:rPr>
          <w:rFonts w:ascii="Arial" w:hAnsi="Arial" w:cs="Arial"/>
          <w:szCs w:val="24"/>
        </w:rPr>
        <w:t xml:space="preserve"> organisation</w:t>
      </w:r>
    </w:p>
    <w:p w14:paraId="2EC2C556" w14:textId="77C92A4C" w:rsidR="00576762" w:rsidRDefault="00576762" w:rsidP="007B54C8">
      <w:pPr>
        <w:pStyle w:val="Blockquote"/>
        <w:numPr>
          <w:ilvl w:val="0"/>
          <w:numId w:val="22"/>
        </w:numPr>
        <w:ind w:right="0"/>
        <w:jc w:val="both"/>
        <w:rPr>
          <w:rFonts w:ascii="Arial" w:hAnsi="Arial" w:cs="Arial"/>
          <w:szCs w:val="24"/>
        </w:rPr>
      </w:pPr>
      <w:r>
        <w:rPr>
          <w:rFonts w:ascii="Arial" w:hAnsi="Arial" w:cs="Arial"/>
          <w:szCs w:val="24"/>
        </w:rPr>
        <w:t>Based on the most recent specification</w:t>
      </w:r>
    </w:p>
    <w:p w14:paraId="69A68090" w14:textId="6BCB402C" w:rsidR="00576762" w:rsidRDefault="00576762" w:rsidP="007B54C8">
      <w:pPr>
        <w:pStyle w:val="Blockquote"/>
        <w:numPr>
          <w:ilvl w:val="0"/>
          <w:numId w:val="22"/>
        </w:numPr>
        <w:ind w:right="0"/>
        <w:jc w:val="both"/>
        <w:rPr>
          <w:rFonts w:ascii="Arial" w:hAnsi="Arial" w:cs="Arial"/>
          <w:szCs w:val="24"/>
        </w:rPr>
      </w:pPr>
      <w:r>
        <w:rPr>
          <w:rFonts w:ascii="Arial" w:hAnsi="Arial" w:cs="Arial"/>
          <w:szCs w:val="24"/>
        </w:rPr>
        <w:t>Clear to students in exactly</w:t>
      </w:r>
      <w:r w:rsidR="008B2482">
        <w:rPr>
          <w:rFonts w:ascii="Arial" w:hAnsi="Arial" w:cs="Arial"/>
          <w:szCs w:val="24"/>
        </w:rPr>
        <w:t xml:space="preserve"> what they need to do</w:t>
      </w:r>
    </w:p>
    <w:p w14:paraId="6F69CFDE" w14:textId="513FF5C4" w:rsidR="008B2482" w:rsidRDefault="008B2482" w:rsidP="007B54C8">
      <w:pPr>
        <w:pStyle w:val="Blockquote"/>
        <w:numPr>
          <w:ilvl w:val="0"/>
          <w:numId w:val="22"/>
        </w:numPr>
        <w:ind w:right="0"/>
        <w:jc w:val="both"/>
        <w:rPr>
          <w:rFonts w:ascii="Arial" w:hAnsi="Arial" w:cs="Arial"/>
          <w:szCs w:val="24"/>
        </w:rPr>
      </w:pPr>
      <w:r>
        <w:rPr>
          <w:rFonts w:ascii="Arial" w:hAnsi="Arial" w:cs="Arial"/>
          <w:szCs w:val="24"/>
        </w:rPr>
        <w:t xml:space="preserve">Comply with awarding organisation requirements </w:t>
      </w:r>
    </w:p>
    <w:p w14:paraId="03DD0A7D" w14:textId="35389AA1" w:rsidR="008F7817" w:rsidRDefault="008F7817" w:rsidP="008F7817">
      <w:pPr>
        <w:pStyle w:val="Blockquote"/>
        <w:ind w:left="0" w:right="0"/>
        <w:jc w:val="both"/>
        <w:rPr>
          <w:rFonts w:ascii="Arial" w:hAnsi="Arial" w:cs="Arial"/>
          <w:szCs w:val="24"/>
        </w:rPr>
      </w:pPr>
    </w:p>
    <w:p w14:paraId="5790ED73" w14:textId="04D88E83" w:rsidR="008F7817" w:rsidRDefault="008F7817" w:rsidP="008F7817">
      <w:pPr>
        <w:pStyle w:val="Blockquote"/>
        <w:ind w:left="0" w:right="0"/>
        <w:jc w:val="both"/>
        <w:rPr>
          <w:rFonts w:ascii="Arial" w:hAnsi="Arial" w:cs="Arial"/>
          <w:szCs w:val="24"/>
        </w:rPr>
      </w:pPr>
      <w:r>
        <w:rPr>
          <w:rFonts w:ascii="Arial" w:hAnsi="Arial" w:cs="Arial"/>
          <w:szCs w:val="24"/>
        </w:rPr>
        <w:t xml:space="preserve">Assessment Verification: all qualifications </w:t>
      </w:r>
    </w:p>
    <w:p w14:paraId="0B7C6A45" w14:textId="703F5BD7" w:rsidR="008F7817" w:rsidRDefault="00E159BA" w:rsidP="008F7817">
      <w:pPr>
        <w:pStyle w:val="Blockquote"/>
        <w:numPr>
          <w:ilvl w:val="0"/>
          <w:numId w:val="23"/>
        </w:numPr>
        <w:ind w:right="0"/>
        <w:jc w:val="both"/>
        <w:rPr>
          <w:rFonts w:ascii="Arial" w:hAnsi="Arial" w:cs="Arial"/>
          <w:szCs w:val="24"/>
        </w:rPr>
      </w:pPr>
      <w:r>
        <w:rPr>
          <w:rFonts w:ascii="Arial" w:hAnsi="Arial" w:cs="Arial"/>
          <w:szCs w:val="24"/>
        </w:rPr>
        <w:t xml:space="preserve">For each cohort of </w:t>
      </w:r>
      <w:proofErr w:type="gramStart"/>
      <w:r>
        <w:rPr>
          <w:rFonts w:ascii="Arial" w:hAnsi="Arial" w:cs="Arial"/>
          <w:szCs w:val="24"/>
        </w:rPr>
        <w:t>students</w:t>
      </w:r>
      <w:proofErr w:type="gramEnd"/>
      <w:r w:rsidR="000D6826">
        <w:rPr>
          <w:rFonts w:ascii="Arial" w:hAnsi="Arial" w:cs="Arial"/>
          <w:szCs w:val="24"/>
        </w:rPr>
        <w:t xml:space="preserve"> </w:t>
      </w:r>
      <w:r w:rsidR="009E277B">
        <w:rPr>
          <w:rFonts w:ascii="Arial" w:hAnsi="Arial" w:cs="Arial"/>
          <w:szCs w:val="24"/>
        </w:rPr>
        <w:t xml:space="preserve">a sample of assessed </w:t>
      </w:r>
      <w:r w:rsidR="00072143">
        <w:rPr>
          <w:rFonts w:ascii="Arial" w:hAnsi="Arial" w:cs="Arial"/>
          <w:szCs w:val="24"/>
        </w:rPr>
        <w:t xml:space="preserve">work will be verified by one or more </w:t>
      </w:r>
      <w:r w:rsidR="00B219F3">
        <w:rPr>
          <w:rFonts w:ascii="Arial" w:hAnsi="Arial" w:cs="Arial"/>
          <w:szCs w:val="24"/>
        </w:rPr>
        <w:t xml:space="preserve">internal </w:t>
      </w:r>
      <w:proofErr w:type="spellStart"/>
      <w:r w:rsidR="00B219F3">
        <w:rPr>
          <w:rFonts w:ascii="Arial" w:hAnsi="Arial" w:cs="Arial"/>
          <w:szCs w:val="24"/>
        </w:rPr>
        <w:t>verifers</w:t>
      </w:r>
      <w:proofErr w:type="spellEnd"/>
      <w:r w:rsidR="00B219F3">
        <w:rPr>
          <w:rFonts w:ascii="Arial" w:hAnsi="Arial" w:cs="Arial"/>
          <w:szCs w:val="24"/>
        </w:rPr>
        <w:t xml:space="preserve"> using the procedures, form and sample sizes </w:t>
      </w:r>
      <w:r w:rsidR="00247693">
        <w:rPr>
          <w:rFonts w:ascii="Arial" w:hAnsi="Arial" w:cs="Arial"/>
          <w:szCs w:val="24"/>
        </w:rPr>
        <w:t>required by the awarding organisation</w:t>
      </w:r>
    </w:p>
    <w:p w14:paraId="49B34848" w14:textId="6C03C2D3" w:rsidR="00247693" w:rsidRDefault="00247693" w:rsidP="008F7817">
      <w:pPr>
        <w:pStyle w:val="Blockquote"/>
        <w:numPr>
          <w:ilvl w:val="0"/>
          <w:numId w:val="23"/>
        </w:numPr>
        <w:ind w:right="0"/>
        <w:jc w:val="both"/>
        <w:rPr>
          <w:rFonts w:ascii="Arial" w:hAnsi="Arial" w:cs="Arial"/>
          <w:szCs w:val="24"/>
        </w:rPr>
      </w:pPr>
      <w:r>
        <w:rPr>
          <w:rFonts w:ascii="Arial" w:hAnsi="Arial" w:cs="Arial"/>
          <w:szCs w:val="24"/>
        </w:rPr>
        <w:t xml:space="preserve">The method of selecting the sample will be recorded </w:t>
      </w:r>
      <w:r w:rsidR="00FC6158">
        <w:rPr>
          <w:rFonts w:ascii="Arial" w:hAnsi="Arial" w:cs="Arial"/>
          <w:szCs w:val="24"/>
        </w:rPr>
        <w:t xml:space="preserve">and clearly accessible. The verification </w:t>
      </w:r>
      <w:r w:rsidR="00FC6158">
        <w:rPr>
          <w:rFonts w:ascii="Arial" w:hAnsi="Arial" w:cs="Arial"/>
          <w:szCs w:val="24"/>
        </w:rPr>
        <w:lastRenderedPageBreak/>
        <w:t xml:space="preserve">plan must ensure that each </w:t>
      </w:r>
      <w:proofErr w:type="gramStart"/>
      <w:r w:rsidR="009B74EA">
        <w:rPr>
          <w:rFonts w:ascii="Arial" w:hAnsi="Arial" w:cs="Arial"/>
          <w:szCs w:val="24"/>
        </w:rPr>
        <w:t>students</w:t>
      </w:r>
      <w:proofErr w:type="gramEnd"/>
      <w:r w:rsidR="009B74EA">
        <w:rPr>
          <w:rFonts w:ascii="Arial" w:hAnsi="Arial" w:cs="Arial"/>
          <w:szCs w:val="24"/>
        </w:rPr>
        <w:t xml:space="preserve"> work is sampled at least </w:t>
      </w:r>
      <w:r w:rsidR="0096273C">
        <w:rPr>
          <w:rFonts w:ascii="Arial" w:hAnsi="Arial" w:cs="Arial"/>
          <w:szCs w:val="24"/>
        </w:rPr>
        <w:t>once over completion</w:t>
      </w:r>
    </w:p>
    <w:p w14:paraId="6755FBDB" w14:textId="44B46A9F" w:rsidR="00074140" w:rsidRDefault="00074140" w:rsidP="008F7817">
      <w:pPr>
        <w:pStyle w:val="Blockquote"/>
        <w:numPr>
          <w:ilvl w:val="0"/>
          <w:numId w:val="23"/>
        </w:numPr>
        <w:ind w:right="0"/>
        <w:jc w:val="both"/>
        <w:rPr>
          <w:rFonts w:ascii="Arial" w:hAnsi="Arial" w:cs="Arial"/>
          <w:szCs w:val="24"/>
        </w:rPr>
      </w:pPr>
      <w:r>
        <w:rPr>
          <w:rFonts w:ascii="Arial" w:hAnsi="Arial" w:cs="Arial"/>
          <w:szCs w:val="24"/>
        </w:rPr>
        <w:t xml:space="preserve">Assessment and verification </w:t>
      </w:r>
      <w:r w:rsidR="00A22157">
        <w:rPr>
          <w:rFonts w:ascii="Arial" w:hAnsi="Arial" w:cs="Arial"/>
          <w:szCs w:val="24"/>
        </w:rPr>
        <w:t>of the sample should be completed within four weeks of complet</w:t>
      </w:r>
      <w:r w:rsidR="00CD4751">
        <w:rPr>
          <w:rFonts w:ascii="Arial" w:hAnsi="Arial" w:cs="Arial"/>
          <w:szCs w:val="24"/>
        </w:rPr>
        <w:t xml:space="preserve">ion </w:t>
      </w:r>
    </w:p>
    <w:p w14:paraId="586B2F13" w14:textId="59D19DBF" w:rsidR="00CD4751" w:rsidRDefault="00CD4751" w:rsidP="008E3FCC">
      <w:pPr>
        <w:pStyle w:val="Blockquote"/>
        <w:numPr>
          <w:ilvl w:val="0"/>
          <w:numId w:val="23"/>
        </w:numPr>
        <w:ind w:right="0"/>
        <w:jc w:val="both"/>
        <w:rPr>
          <w:rFonts w:ascii="Arial" w:hAnsi="Arial" w:cs="Arial"/>
          <w:szCs w:val="24"/>
        </w:rPr>
      </w:pPr>
      <w:r>
        <w:rPr>
          <w:rFonts w:ascii="Arial" w:hAnsi="Arial" w:cs="Arial"/>
          <w:szCs w:val="24"/>
        </w:rPr>
        <w:t>Assessment verification must be used to record</w:t>
      </w:r>
      <w:r w:rsidR="00001167">
        <w:rPr>
          <w:rFonts w:ascii="Arial" w:hAnsi="Arial" w:cs="Arial"/>
          <w:szCs w:val="24"/>
        </w:rPr>
        <w:t>:</w:t>
      </w:r>
    </w:p>
    <w:p w14:paraId="65F0C9AB" w14:textId="2BFBB7C6" w:rsidR="00001167" w:rsidRDefault="00001167" w:rsidP="00001167">
      <w:pPr>
        <w:pStyle w:val="Blockquote"/>
        <w:numPr>
          <w:ilvl w:val="0"/>
          <w:numId w:val="24"/>
        </w:numPr>
        <w:ind w:right="0"/>
        <w:jc w:val="both"/>
        <w:rPr>
          <w:rFonts w:ascii="Arial" w:hAnsi="Arial" w:cs="Arial"/>
          <w:szCs w:val="24"/>
        </w:rPr>
      </w:pPr>
      <w:proofErr w:type="spellStart"/>
      <w:r>
        <w:rPr>
          <w:rFonts w:ascii="Arial" w:hAnsi="Arial" w:cs="Arial"/>
          <w:szCs w:val="24"/>
        </w:rPr>
        <w:t>Verifiction</w:t>
      </w:r>
      <w:proofErr w:type="spellEnd"/>
      <w:r>
        <w:rPr>
          <w:rFonts w:ascii="Arial" w:hAnsi="Arial" w:cs="Arial"/>
          <w:szCs w:val="24"/>
        </w:rPr>
        <w:t xml:space="preserve"> of the </w:t>
      </w:r>
      <w:r w:rsidR="00BE7EA9" w:rsidRPr="00BE7EA9">
        <w:rPr>
          <w:rFonts w:ascii="Arial" w:hAnsi="Arial" w:cs="Arial"/>
          <w:szCs w:val="24"/>
        </w:rPr>
        <w:t xml:space="preserve">assessment decisions taken by the assessor </w:t>
      </w:r>
    </w:p>
    <w:p w14:paraId="72C5ED5C" w14:textId="5297DCB9" w:rsidR="00BE7EA9" w:rsidRDefault="00BE7EA9" w:rsidP="00001167">
      <w:pPr>
        <w:pStyle w:val="Blockquote"/>
        <w:numPr>
          <w:ilvl w:val="0"/>
          <w:numId w:val="24"/>
        </w:numPr>
        <w:ind w:right="0"/>
        <w:jc w:val="both"/>
        <w:rPr>
          <w:rFonts w:ascii="Arial" w:hAnsi="Arial" w:cs="Arial"/>
          <w:szCs w:val="24"/>
        </w:rPr>
      </w:pPr>
      <w:r>
        <w:rPr>
          <w:rFonts w:ascii="Arial" w:hAnsi="Arial" w:cs="Arial"/>
          <w:szCs w:val="24"/>
        </w:rPr>
        <w:t>Supportive, constructive</w:t>
      </w:r>
      <w:r w:rsidR="00E66F3D">
        <w:rPr>
          <w:rFonts w:ascii="Arial" w:hAnsi="Arial" w:cs="Arial"/>
          <w:szCs w:val="24"/>
        </w:rPr>
        <w:t xml:space="preserve">, developmental feedback to the assessor </w:t>
      </w:r>
    </w:p>
    <w:p w14:paraId="26FB9095" w14:textId="279BC927" w:rsidR="00E66F3D" w:rsidRDefault="00E66F3D" w:rsidP="00001167">
      <w:pPr>
        <w:pStyle w:val="Blockquote"/>
        <w:numPr>
          <w:ilvl w:val="0"/>
          <w:numId w:val="24"/>
        </w:numPr>
        <w:ind w:right="0"/>
        <w:jc w:val="both"/>
        <w:rPr>
          <w:rFonts w:ascii="Arial" w:hAnsi="Arial" w:cs="Arial"/>
          <w:szCs w:val="24"/>
        </w:rPr>
      </w:pPr>
      <w:r>
        <w:rPr>
          <w:rFonts w:ascii="Arial" w:hAnsi="Arial" w:cs="Arial"/>
          <w:szCs w:val="24"/>
        </w:rPr>
        <w:t xml:space="preserve">Examples of goof assessment practice </w:t>
      </w:r>
    </w:p>
    <w:p w14:paraId="2D6B110E" w14:textId="5E07E9AD" w:rsidR="000F1F26" w:rsidRDefault="000F1F26" w:rsidP="000F1F26">
      <w:pPr>
        <w:pStyle w:val="Blockquote"/>
        <w:ind w:right="0"/>
        <w:jc w:val="both"/>
        <w:rPr>
          <w:rFonts w:ascii="Arial" w:hAnsi="Arial" w:cs="Arial"/>
          <w:szCs w:val="24"/>
        </w:rPr>
      </w:pPr>
    </w:p>
    <w:p w14:paraId="709C7FFD" w14:textId="6FE79D8D" w:rsidR="000F1F26" w:rsidRPr="004E4C06" w:rsidRDefault="000F1F26" w:rsidP="000F1F26">
      <w:pPr>
        <w:pStyle w:val="Blockquote"/>
        <w:numPr>
          <w:ilvl w:val="0"/>
          <w:numId w:val="25"/>
        </w:numPr>
        <w:ind w:right="0"/>
        <w:jc w:val="both"/>
        <w:rPr>
          <w:rFonts w:ascii="Arial" w:hAnsi="Arial" w:cs="Arial"/>
          <w:szCs w:val="24"/>
        </w:rPr>
      </w:pPr>
      <w:r>
        <w:rPr>
          <w:rFonts w:ascii="Arial" w:hAnsi="Arial" w:cs="Arial"/>
          <w:szCs w:val="24"/>
        </w:rPr>
        <w:t xml:space="preserve">Internal </w:t>
      </w:r>
      <w:proofErr w:type="spellStart"/>
      <w:r>
        <w:rPr>
          <w:rFonts w:ascii="Arial" w:hAnsi="Arial" w:cs="Arial"/>
          <w:szCs w:val="24"/>
        </w:rPr>
        <w:t>verfifers</w:t>
      </w:r>
      <w:proofErr w:type="spellEnd"/>
      <w:r>
        <w:rPr>
          <w:rFonts w:ascii="Arial" w:hAnsi="Arial" w:cs="Arial"/>
          <w:szCs w:val="24"/>
        </w:rPr>
        <w:t xml:space="preserve"> will organise the above procedures and report the outcomes to the team and to managers </w:t>
      </w:r>
    </w:p>
    <w:p w14:paraId="2A347200" w14:textId="77777777" w:rsidR="00BC233A" w:rsidRPr="009225A7" w:rsidRDefault="00BC233A" w:rsidP="00BC233A">
      <w:pPr>
        <w:pStyle w:val="Blockquote"/>
        <w:ind w:left="0" w:right="0"/>
        <w:jc w:val="both"/>
        <w:rPr>
          <w:rFonts w:ascii="Arial" w:hAnsi="Arial" w:cs="Arial"/>
          <w:sz w:val="22"/>
          <w:szCs w:val="22"/>
        </w:rPr>
      </w:pPr>
    </w:p>
    <w:p w14:paraId="79E3F753" w14:textId="317E2DA6" w:rsidR="00EC1062" w:rsidRDefault="00741443" w:rsidP="00EC1062">
      <w:pPr>
        <w:rPr>
          <w:rFonts w:ascii="Arial" w:eastAsia="Times New Roman" w:hAnsi="Arial" w:cs="Arial"/>
          <w:b/>
          <w:bCs/>
          <w:color w:val="4BACC6" w:themeColor="accent5"/>
          <w:sz w:val="40"/>
          <w:szCs w:val="40"/>
          <w:lang w:eastAsia="en-GB"/>
        </w:rPr>
      </w:pPr>
      <w:r>
        <w:rPr>
          <w:rFonts w:ascii="Arial" w:eastAsia="Times New Roman" w:hAnsi="Arial" w:cs="Arial"/>
          <w:b/>
          <w:bCs/>
          <w:color w:val="4BACC6" w:themeColor="accent5"/>
          <w:sz w:val="40"/>
          <w:szCs w:val="40"/>
          <w:lang w:eastAsia="en-GB"/>
        </w:rPr>
        <w:t xml:space="preserve">Maintain Records of Assessment and Internal </w:t>
      </w:r>
      <w:r w:rsidR="00293F42">
        <w:rPr>
          <w:rFonts w:ascii="Arial" w:eastAsia="Times New Roman" w:hAnsi="Arial" w:cs="Arial"/>
          <w:b/>
          <w:bCs/>
          <w:color w:val="4BACC6" w:themeColor="accent5"/>
          <w:sz w:val="40"/>
          <w:szCs w:val="40"/>
          <w:lang w:eastAsia="en-GB"/>
        </w:rPr>
        <w:t xml:space="preserve">Verification </w:t>
      </w:r>
    </w:p>
    <w:p w14:paraId="50AA02E2" w14:textId="77777777" w:rsidR="0063400B" w:rsidRPr="00BC233A" w:rsidRDefault="0063400B" w:rsidP="00EC1062">
      <w:pPr>
        <w:rPr>
          <w:rFonts w:ascii="Arial" w:eastAsia="Times New Roman" w:hAnsi="Arial" w:cs="Arial"/>
          <w:b/>
          <w:bCs/>
          <w:color w:val="4BACC6" w:themeColor="accent5"/>
          <w:sz w:val="40"/>
          <w:szCs w:val="40"/>
          <w:lang w:eastAsia="en-GB"/>
        </w:rPr>
      </w:pPr>
    </w:p>
    <w:p w14:paraId="5701ACD9" w14:textId="668D45D0" w:rsidR="00BC233A" w:rsidRDefault="0063400B" w:rsidP="0063400B">
      <w:pPr>
        <w:pStyle w:val="Blockquote"/>
        <w:ind w:left="0" w:right="0"/>
        <w:jc w:val="both"/>
        <w:rPr>
          <w:rFonts w:ascii="Arial" w:hAnsi="Arial" w:cs="Arial"/>
          <w:szCs w:val="24"/>
        </w:rPr>
      </w:pPr>
      <w:r>
        <w:rPr>
          <w:rFonts w:ascii="Arial" w:hAnsi="Arial" w:cs="Arial"/>
          <w:szCs w:val="24"/>
        </w:rPr>
        <w:t xml:space="preserve">Internal </w:t>
      </w:r>
      <w:r w:rsidR="006F7D80">
        <w:rPr>
          <w:rFonts w:ascii="Arial" w:hAnsi="Arial" w:cs="Arial"/>
          <w:szCs w:val="24"/>
        </w:rPr>
        <w:t>verifiers are required to:</w:t>
      </w:r>
    </w:p>
    <w:p w14:paraId="38491196" w14:textId="71933E82" w:rsidR="006F7D80" w:rsidRDefault="006F7D80" w:rsidP="006F7D80">
      <w:pPr>
        <w:pStyle w:val="Blockquote"/>
        <w:numPr>
          <w:ilvl w:val="0"/>
          <w:numId w:val="25"/>
        </w:numPr>
        <w:ind w:right="0"/>
        <w:jc w:val="both"/>
        <w:rPr>
          <w:rFonts w:ascii="Arial" w:hAnsi="Arial" w:cs="Arial"/>
          <w:szCs w:val="24"/>
        </w:rPr>
      </w:pPr>
      <w:r>
        <w:rPr>
          <w:rFonts w:ascii="Arial" w:hAnsi="Arial" w:cs="Arial"/>
          <w:szCs w:val="24"/>
        </w:rPr>
        <w:t xml:space="preserve">Ensure that assessors </w:t>
      </w:r>
      <w:r w:rsidR="00C83148">
        <w:rPr>
          <w:rFonts w:ascii="Arial" w:hAnsi="Arial" w:cs="Arial"/>
          <w:szCs w:val="24"/>
        </w:rPr>
        <w:t>use appropriate documentation and procedures correctly</w:t>
      </w:r>
    </w:p>
    <w:p w14:paraId="7FB9DC83" w14:textId="5223E75E" w:rsidR="00C83148" w:rsidRDefault="00C83148" w:rsidP="006F7D80">
      <w:pPr>
        <w:pStyle w:val="Blockquote"/>
        <w:numPr>
          <w:ilvl w:val="0"/>
          <w:numId w:val="25"/>
        </w:numPr>
        <w:ind w:right="0"/>
        <w:jc w:val="both"/>
        <w:rPr>
          <w:rFonts w:ascii="Arial" w:hAnsi="Arial" w:cs="Arial"/>
          <w:szCs w:val="24"/>
        </w:rPr>
      </w:pPr>
      <w:r>
        <w:rPr>
          <w:rFonts w:ascii="Arial" w:hAnsi="Arial" w:cs="Arial"/>
          <w:szCs w:val="24"/>
        </w:rPr>
        <w:t xml:space="preserve">Ensure that documentation </w:t>
      </w:r>
      <w:r w:rsidR="00226D8D">
        <w:rPr>
          <w:rFonts w:ascii="Arial" w:hAnsi="Arial" w:cs="Arial"/>
          <w:szCs w:val="24"/>
        </w:rPr>
        <w:t xml:space="preserve">and systems </w:t>
      </w:r>
      <w:r w:rsidR="008F0E0B">
        <w:rPr>
          <w:rFonts w:ascii="Arial" w:hAnsi="Arial" w:cs="Arial"/>
          <w:szCs w:val="24"/>
        </w:rPr>
        <w:t xml:space="preserve">are meeting regulatory and awarding </w:t>
      </w:r>
      <w:r w:rsidR="005251AE">
        <w:rPr>
          <w:rFonts w:ascii="Arial" w:hAnsi="Arial" w:cs="Arial"/>
          <w:szCs w:val="24"/>
        </w:rPr>
        <w:t>organisation requirements</w:t>
      </w:r>
    </w:p>
    <w:p w14:paraId="37DFA048" w14:textId="0D65C7B3" w:rsidR="00014897" w:rsidRDefault="005251AE" w:rsidP="00014897">
      <w:pPr>
        <w:pStyle w:val="Blockquote"/>
        <w:numPr>
          <w:ilvl w:val="0"/>
          <w:numId w:val="25"/>
        </w:numPr>
        <w:ind w:right="0"/>
        <w:jc w:val="both"/>
        <w:rPr>
          <w:rFonts w:ascii="Arial" w:hAnsi="Arial" w:cs="Arial"/>
          <w:szCs w:val="24"/>
        </w:rPr>
      </w:pPr>
      <w:r>
        <w:rPr>
          <w:rFonts w:ascii="Arial" w:hAnsi="Arial" w:cs="Arial"/>
          <w:szCs w:val="24"/>
        </w:rPr>
        <w:t xml:space="preserve">Ensure that the records are stored securely and safely </w:t>
      </w:r>
      <w:r w:rsidR="00014897">
        <w:rPr>
          <w:rFonts w:ascii="Arial" w:hAnsi="Arial" w:cs="Arial"/>
          <w:szCs w:val="24"/>
        </w:rPr>
        <w:t xml:space="preserve">and for the times </w:t>
      </w:r>
      <w:proofErr w:type="spellStart"/>
      <w:r w:rsidR="00014897">
        <w:rPr>
          <w:rFonts w:ascii="Arial" w:hAnsi="Arial" w:cs="Arial"/>
          <w:szCs w:val="24"/>
        </w:rPr>
        <w:t>secified</w:t>
      </w:r>
      <w:proofErr w:type="spellEnd"/>
      <w:r w:rsidR="00014897">
        <w:rPr>
          <w:rFonts w:ascii="Arial" w:hAnsi="Arial" w:cs="Arial"/>
          <w:szCs w:val="24"/>
        </w:rPr>
        <w:t xml:space="preserve"> by an awarding organisation</w:t>
      </w:r>
    </w:p>
    <w:p w14:paraId="56650E8A" w14:textId="29C2DFFD" w:rsidR="007D60E4" w:rsidRPr="007D60E4" w:rsidRDefault="00014897" w:rsidP="007D60E4">
      <w:pPr>
        <w:pStyle w:val="Blockquote"/>
        <w:numPr>
          <w:ilvl w:val="0"/>
          <w:numId w:val="25"/>
        </w:numPr>
        <w:ind w:right="0"/>
        <w:jc w:val="both"/>
        <w:rPr>
          <w:rFonts w:ascii="Arial" w:hAnsi="Arial" w:cs="Arial"/>
          <w:szCs w:val="24"/>
        </w:rPr>
      </w:pPr>
      <w:r>
        <w:rPr>
          <w:rFonts w:ascii="Arial" w:hAnsi="Arial" w:cs="Arial"/>
          <w:szCs w:val="24"/>
        </w:rPr>
        <w:t>Ensure that records are ava</w:t>
      </w:r>
      <w:r w:rsidR="00DE6760">
        <w:rPr>
          <w:rFonts w:ascii="Arial" w:hAnsi="Arial" w:cs="Arial"/>
          <w:szCs w:val="24"/>
        </w:rPr>
        <w:t>ilable for external audits and verification</w:t>
      </w:r>
    </w:p>
    <w:p w14:paraId="4FE3C0B4" w14:textId="6F64A236" w:rsidR="00D41D10" w:rsidRDefault="00D41D10" w:rsidP="00EC1062">
      <w:pPr>
        <w:rPr>
          <w:rFonts w:ascii="Arial" w:hAnsi="Arial" w:cs="Arial"/>
        </w:rPr>
      </w:pPr>
    </w:p>
    <w:p w14:paraId="02AFF63F" w14:textId="77777777" w:rsidR="00D41D10" w:rsidRPr="000A01E3" w:rsidRDefault="00D41D10" w:rsidP="00EC1062">
      <w:pPr>
        <w:rPr>
          <w:rFonts w:ascii="Arial" w:hAnsi="Arial" w:cs="Arial"/>
        </w:rPr>
      </w:pPr>
    </w:p>
    <w:p w14:paraId="034A7F81" w14:textId="388BEBDB" w:rsidR="00EC1062" w:rsidRDefault="007D60E4" w:rsidP="00EC1062">
      <w:pPr>
        <w:rPr>
          <w:rFonts w:ascii="Arial" w:eastAsia="Times New Roman" w:hAnsi="Arial" w:cs="Arial"/>
          <w:b/>
          <w:bCs/>
          <w:color w:val="4BACC6" w:themeColor="accent5"/>
          <w:sz w:val="40"/>
          <w:szCs w:val="40"/>
          <w:lang w:eastAsia="en-GB"/>
        </w:rPr>
      </w:pPr>
      <w:r>
        <w:rPr>
          <w:rFonts w:ascii="Arial" w:eastAsia="Times New Roman" w:hAnsi="Arial" w:cs="Arial"/>
          <w:b/>
          <w:bCs/>
          <w:color w:val="4BACC6" w:themeColor="accent5"/>
          <w:sz w:val="40"/>
          <w:szCs w:val="40"/>
          <w:lang w:eastAsia="en-GB"/>
        </w:rPr>
        <w:t xml:space="preserve">Course Management </w:t>
      </w:r>
      <w:r w:rsidR="00925F49" w:rsidRPr="00925F49">
        <w:rPr>
          <w:rFonts w:ascii="Arial" w:eastAsia="Times New Roman" w:hAnsi="Arial" w:cs="Arial"/>
          <w:b/>
          <w:bCs/>
          <w:color w:val="4BACC6" w:themeColor="accent5"/>
          <w:sz w:val="40"/>
          <w:szCs w:val="40"/>
          <w:lang w:eastAsia="en-GB"/>
        </w:rPr>
        <w:t xml:space="preserve"> </w:t>
      </w:r>
    </w:p>
    <w:p w14:paraId="0F02877F" w14:textId="44D66A3E" w:rsidR="007D60E4" w:rsidRDefault="007D60E4" w:rsidP="00EC1062">
      <w:pPr>
        <w:rPr>
          <w:rFonts w:ascii="Arial" w:eastAsia="Times New Roman" w:hAnsi="Arial" w:cs="Arial"/>
          <w:b/>
          <w:bCs/>
          <w:color w:val="4BACC6" w:themeColor="accent5"/>
          <w:sz w:val="40"/>
          <w:szCs w:val="40"/>
          <w:lang w:eastAsia="en-GB"/>
        </w:rPr>
      </w:pPr>
    </w:p>
    <w:p w14:paraId="2A38AE09" w14:textId="31D2B456" w:rsidR="007D60E4" w:rsidRDefault="007D60E4" w:rsidP="007D60E4">
      <w:pPr>
        <w:rPr>
          <w:rFonts w:ascii="Arial" w:hAnsi="Arial" w:cs="Arial"/>
          <w:b/>
          <w:bCs/>
          <w:color w:val="4BACC6" w:themeColor="accent5"/>
          <w:lang w:eastAsia="en-GB"/>
        </w:rPr>
      </w:pPr>
      <w:r>
        <w:rPr>
          <w:rFonts w:ascii="Arial" w:eastAsia="Times New Roman" w:hAnsi="Arial" w:cs="Arial"/>
          <w:b/>
          <w:bCs/>
          <w:color w:val="4BACC6" w:themeColor="accent5"/>
          <w:lang w:eastAsia="en-GB"/>
        </w:rPr>
        <w:t xml:space="preserve">Allocation of internal verifiers </w:t>
      </w:r>
    </w:p>
    <w:p w14:paraId="70B6A72F" w14:textId="77777777" w:rsidR="007D60E4" w:rsidRPr="00925F49" w:rsidRDefault="007D60E4" w:rsidP="00EC1062">
      <w:pPr>
        <w:rPr>
          <w:rFonts w:ascii="Arial" w:eastAsia="Times New Roman" w:hAnsi="Arial" w:cs="Arial"/>
          <w:b/>
          <w:bCs/>
          <w:color w:val="4BACC6" w:themeColor="accent5"/>
          <w:sz w:val="40"/>
          <w:szCs w:val="40"/>
          <w:lang w:eastAsia="en-GB"/>
        </w:rPr>
      </w:pPr>
    </w:p>
    <w:p w14:paraId="5B4AC1E4" w14:textId="6F1C2822" w:rsidR="00D41D10" w:rsidRDefault="00AE600C" w:rsidP="00D41D10">
      <w:pPr>
        <w:pStyle w:val="Blockquote"/>
        <w:numPr>
          <w:ilvl w:val="0"/>
          <w:numId w:val="19"/>
        </w:numPr>
        <w:ind w:right="0"/>
        <w:jc w:val="both"/>
        <w:rPr>
          <w:rFonts w:ascii="Arial" w:hAnsi="Arial" w:cs="Arial"/>
          <w:szCs w:val="24"/>
        </w:rPr>
      </w:pPr>
      <w:r w:rsidRPr="00AE600C">
        <w:rPr>
          <w:rFonts w:ascii="Arial" w:hAnsi="Arial" w:cs="Arial"/>
        </w:rPr>
        <w:t>There will be at least one Internal Verifier for each qualification; large qualifications may require more and must meet awarding organisation requirements</w:t>
      </w:r>
      <w:r w:rsidR="00D41D10" w:rsidRPr="00AE600C">
        <w:rPr>
          <w:rFonts w:ascii="Arial" w:hAnsi="Arial" w:cs="Arial"/>
          <w:szCs w:val="24"/>
        </w:rPr>
        <w:t xml:space="preserve"> </w:t>
      </w:r>
    </w:p>
    <w:p w14:paraId="263C8D60" w14:textId="301EADA2" w:rsidR="00AE600C" w:rsidRPr="00AE600C" w:rsidRDefault="00AE600C" w:rsidP="00D41D10">
      <w:pPr>
        <w:pStyle w:val="Blockquote"/>
        <w:numPr>
          <w:ilvl w:val="0"/>
          <w:numId w:val="19"/>
        </w:numPr>
        <w:ind w:right="0"/>
        <w:jc w:val="both"/>
        <w:rPr>
          <w:rFonts w:ascii="Arial" w:hAnsi="Arial" w:cs="Arial"/>
          <w:szCs w:val="24"/>
        </w:rPr>
      </w:pPr>
      <w:r w:rsidRPr="00AE600C">
        <w:rPr>
          <w:rFonts w:ascii="Arial" w:hAnsi="Arial" w:cs="Arial"/>
        </w:rPr>
        <w:t>Internal Verifiers must be qualified teachers with significant experience of teaching and assessing with the awarding organisation and/or the qualification.</w:t>
      </w:r>
    </w:p>
    <w:p w14:paraId="54EB724E" w14:textId="4E141A4F" w:rsidR="00A93446" w:rsidRDefault="00A93446" w:rsidP="00EC1062">
      <w:pPr>
        <w:rPr>
          <w:rFonts w:ascii="Arial" w:hAnsi="Arial" w:cs="Arial"/>
        </w:rPr>
      </w:pPr>
    </w:p>
    <w:p w14:paraId="3A240026" w14:textId="383CD04B" w:rsidR="00AE600C" w:rsidRDefault="00AE600C" w:rsidP="00AE600C">
      <w:pPr>
        <w:rPr>
          <w:rFonts w:ascii="Arial" w:eastAsia="Times New Roman" w:hAnsi="Arial" w:cs="Arial"/>
          <w:b/>
          <w:bCs/>
          <w:color w:val="4BACC6" w:themeColor="accent5"/>
          <w:lang w:eastAsia="en-GB"/>
        </w:rPr>
      </w:pPr>
      <w:r>
        <w:rPr>
          <w:rFonts w:ascii="Arial" w:eastAsia="Times New Roman" w:hAnsi="Arial" w:cs="Arial"/>
          <w:b/>
          <w:bCs/>
          <w:color w:val="4BACC6" w:themeColor="accent5"/>
          <w:lang w:eastAsia="en-GB"/>
        </w:rPr>
        <w:t xml:space="preserve">Allocation of internal verifiers </w:t>
      </w:r>
    </w:p>
    <w:p w14:paraId="100FAD62" w14:textId="77777777" w:rsidR="00021DC0" w:rsidRDefault="00021DC0" w:rsidP="00AE600C">
      <w:pPr>
        <w:rPr>
          <w:rFonts w:ascii="Arial" w:hAnsi="Arial" w:cs="Arial"/>
          <w:b/>
          <w:bCs/>
          <w:color w:val="4BACC6" w:themeColor="accent5"/>
          <w:lang w:eastAsia="en-GB"/>
        </w:rPr>
      </w:pPr>
    </w:p>
    <w:p w14:paraId="6A525B6C" w14:textId="3E3D780B" w:rsidR="00AE600C" w:rsidRPr="00021DC0" w:rsidRDefault="00021DC0" w:rsidP="00021DC0">
      <w:pPr>
        <w:pStyle w:val="ListParagraph"/>
        <w:numPr>
          <w:ilvl w:val="0"/>
          <w:numId w:val="26"/>
        </w:numPr>
        <w:rPr>
          <w:rFonts w:ascii="Arial" w:hAnsi="Arial" w:cs="Arial"/>
        </w:rPr>
      </w:pPr>
      <w:r w:rsidRPr="00021DC0">
        <w:rPr>
          <w:rFonts w:ascii="Arial" w:hAnsi="Arial" w:cs="Arial"/>
        </w:rPr>
        <w:t>Before each run of the course begins, each qualification must have the required Internal Verifiers in place.</w:t>
      </w:r>
    </w:p>
    <w:p w14:paraId="57330627" w14:textId="1DF2262A" w:rsidR="00021DC0" w:rsidRPr="00021DC0" w:rsidRDefault="00021DC0" w:rsidP="00021DC0">
      <w:pPr>
        <w:pStyle w:val="ListParagraph"/>
        <w:numPr>
          <w:ilvl w:val="0"/>
          <w:numId w:val="26"/>
        </w:numPr>
        <w:rPr>
          <w:rFonts w:ascii="Arial" w:hAnsi="Arial" w:cs="Arial"/>
        </w:rPr>
      </w:pPr>
      <w:r w:rsidRPr="00021DC0">
        <w:rPr>
          <w:rFonts w:ascii="Arial" w:hAnsi="Arial" w:cs="Arial"/>
        </w:rPr>
        <w:t>Each teacher new to the qualification or the awarding organisation must have an induction that explains assessment, awarding organisation and BePro requirements and how these operate locally.</w:t>
      </w:r>
    </w:p>
    <w:p w14:paraId="6DAED067" w14:textId="31ED69C1" w:rsidR="00021DC0" w:rsidRDefault="00021DC0" w:rsidP="00021DC0">
      <w:pPr>
        <w:pStyle w:val="ListParagraph"/>
        <w:numPr>
          <w:ilvl w:val="0"/>
          <w:numId w:val="26"/>
        </w:numPr>
        <w:rPr>
          <w:rFonts w:ascii="Arial" w:hAnsi="Arial" w:cs="Arial"/>
        </w:rPr>
      </w:pPr>
      <w:r w:rsidRPr="00021DC0">
        <w:rPr>
          <w:rFonts w:ascii="Arial" w:hAnsi="Arial" w:cs="Arial"/>
        </w:rPr>
        <w:t>Before each programme begins, each teacher must have:</w:t>
      </w:r>
    </w:p>
    <w:p w14:paraId="7BFED046" w14:textId="4BB732B6" w:rsidR="00021DC0" w:rsidRPr="007F0FCE" w:rsidRDefault="007F0FCE" w:rsidP="00021DC0">
      <w:pPr>
        <w:pStyle w:val="ListParagraph"/>
        <w:numPr>
          <w:ilvl w:val="0"/>
          <w:numId w:val="24"/>
        </w:numPr>
        <w:rPr>
          <w:rFonts w:ascii="Arial" w:hAnsi="Arial" w:cs="Arial"/>
        </w:rPr>
      </w:pPr>
      <w:r w:rsidRPr="007F0FCE">
        <w:rPr>
          <w:rFonts w:ascii="Arial" w:hAnsi="Arial" w:cs="Arial"/>
        </w:rPr>
        <w:lastRenderedPageBreak/>
        <w:t>a copy of the most recent awarding organisation specification and associated guidance documents</w:t>
      </w:r>
    </w:p>
    <w:p w14:paraId="4E215259" w14:textId="7A918D17" w:rsidR="007F0FCE" w:rsidRPr="007F0FCE" w:rsidRDefault="007F0FCE" w:rsidP="00021DC0">
      <w:pPr>
        <w:pStyle w:val="ListParagraph"/>
        <w:numPr>
          <w:ilvl w:val="0"/>
          <w:numId w:val="24"/>
        </w:numPr>
        <w:rPr>
          <w:rFonts w:ascii="Arial" w:hAnsi="Arial" w:cs="Arial"/>
        </w:rPr>
      </w:pPr>
      <w:r w:rsidRPr="007F0FCE">
        <w:rPr>
          <w:rFonts w:ascii="Arial" w:hAnsi="Arial" w:cs="Arial"/>
        </w:rPr>
        <w:t>a Scheme of Work (SoW)</w:t>
      </w:r>
    </w:p>
    <w:p w14:paraId="3CDE9767" w14:textId="20F67ADA" w:rsidR="007F0FCE" w:rsidRPr="007F0FCE" w:rsidRDefault="007F0FCE" w:rsidP="00021DC0">
      <w:pPr>
        <w:pStyle w:val="ListParagraph"/>
        <w:numPr>
          <w:ilvl w:val="0"/>
          <w:numId w:val="24"/>
        </w:numPr>
        <w:rPr>
          <w:rFonts w:ascii="Arial" w:hAnsi="Arial" w:cs="Arial"/>
        </w:rPr>
      </w:pPr>
      <w:r w:rsidRPr="007F0FCE">
        <w:rPr>
          <w:rFonts w:ascii="Arial" w:hAnsi="Arial" w:cs="Arial"/>
        </w:rPr>
        <w:t xml:space="preserve">a copy of the appropriate awarding organisation assessment, </w:t>
      </w:r>
      <w:proofErr w:type="gramStart"/>
      <w:r w:rsidRPr="007F0FCE">
        <w:rPr>
          <w:rFonts w:ascii="Arial" w:hAnsi="Arial" w:cs="Arial"/>
        </w:rPr>
        <w:t>verification</w:t>
      </w:r>
      <w:proofErr w:type="gramEnd"/>
      <w:r w:rsidRPr="007F0FCE">
        <w:rPr>
          <w:rFonts w:ascii="Arial" w:hAnsi="Arial" w:cs="Arial"/>
        </w:rPr>
        <w:t xml:space="preserve"> and quality assurance regulations</w:t>
      </w:r>
    </w:p>
    <w:p w14:paraId="2AD3B8C4" w14:textId="41F3920C" w:rsidR="007F0FCE" w:rsidRPr="007F0FCE" w:rsidRDefault="007F0FCE" w:rsidP="00021DC0">
      <w:pPr>
        <w:pStyle w:val="ListParagraph"/>
        <w:numPr>
          <w:ilvl w:val="0"/>
          <w:numId w:val="24"/>
        </w:numPr>
        <w:rPr>
          <w:rFonts w:ascii="Arial" w:hAnsi="Arial" w:cs="Arial"/>
        </w:rPr>
      </w:pPr>
      <w:r w:rsidRPr="007F0FCE">
        <w:rPr>
          <w:rFonts w:ascii="Arial" w:hAnsi="Arial" w:cs="Arial"/>
        </w:rPr>
        <w:t>all associated Centre policies and procedures, including this document</w:t>
      </w:r>
    </w:p>
    <w:p w14:paraId="3836B9F1" w14:textId="3B3AD21B" w:rsidR="007F0FCE" w:rsidRDefault="007F0FCE" w:rsidP="00021DC0">
      <w:pPr>
        <w:pStyle w:val="ListParagraph"/>
        <w:numPr>
          <w:ilvl w:val="0"/>
          <w:numId w:val="24"/>
        </w:numPr>
        <w:rPr>
          <w:rFonts w:ascii="Arial" w:hAnsi="Arial" w:cs="Arial"/>
        </w:rPr>
      </w:pPr>
      <w:r w:rsidRPr="007F0FCE">
        <w:rPr>
          <w:rFonts w:ascii="Arial" w:hAnsi="Arial" w:cs="Arial"/>
        </w:rPr>
        <w:t>the opportunity to work towards the appropriate assessor and verifier qualifications.</w:t>
      </w:r>
    </w:p>
    <w:p w14:paraId="5A9B37AA" w14:textId="04E249E1" w:rsidR="007F0FCE" w:rsidRDefault="007F0FCE" w:rsidP="007F0FCE">
      <w:pPr>
        <w:rPr>
          <w:rFonts w:ascii="Arial" w:hAnsi="Arial" w:cs="Arial"/>
        </w:rPr>
      </w:pPr>
    </w:p>
    <w:p w14:paraId="7838E6FF" w14:textId="7C048168" w:rsidR="007F0FCE" w:rsidRDefault="005F29AE" w:rsidP="005F29AE">
      <w:pPr>
        <w:rPr>
          <w:rFonts w:ascii="Arial" w:hAnsi="Arial" w:cs="Arial"/>
        </w:rPr>
      </w:pPr>
      <w:r>
        <w:rPr>
          <w:rFonts w:ascii="Arial" w:hAnsi="Arial" w:cs="Arial"/>
        </w:rPr>
        <w:t>Responding to student appeals on assessment procedures.</w:t>
      </w:r>
    </w:p>
    <w:p w14:paraId="53E571B5" w14:textId="24482192" w:rsidR="005F29AE" w:rsidRDefault="005F29AE" w:rsidP="005F29AE">
      <w:pPr>
        <w:rPr>
          <w:rFonts w:ascii="Arial" w:hAnsi="Arial" w:cs="Arial"/>
        </w:rPr>
      </w:pPr>
    </w:p>
    <w:p w14:paraId="12922297" w14:textId="7BF78AFA" w:rsidR="00FD71AC" w:rsidRPr="009C6DFB" w:rsidRDefault="009C6DFB" w:rsidP="009C6DFB">
      <w:pPr>
        <w:rPr>
          <w:rFonts w:ascii="Arial" w:hAnsi="Arial" w:cs="Arial"/>
        </w:rPr>
      </w:pPr>
      <w:proofErr w:type="spellStart"/>
      <w:r w:rsidRPr="009C6DFB">
        <w:rPr>
          <w:rFonts w:ascii="Arial" w:hAnsi="Arial" w:cs="Arial"/>
        </w:rPr>
        <w:t>BePro’s</w:t>
      </w:r>
      <w:proofErr w:type="spellEnd"/>
      <w:r w:rsidRPr="009C6DFB">
        <w:rPr>
          <w:rFonts w:ascii="Arial" w:hAnsi="Arial" w:cs="Arial"/>
        </w:rPr>
        <w:t xml:space="preserve"> Complaints and Appeals Procedure allows for learners to appeal against decisions made by the Centre in relation to assessment procedures. Please refer to this policy should there be an appeal relating to assessment procedures.</w:t>
      </w:r>
    </w:p>
    <w:p w14:paraId="3F4796F6" w14:textId="77777777" w:rsidR="00CF2DCA" w:rsidRPr="00983837" w:rsidRDefault="00CF2DCA" w:rsidP="00CF2DCA">
      <w:pPr>
        <w:rPr>
          <w:rFonts w:ascii="Arial" w:eastAsia="Times New Roman" w:hAnsi="Arial" w:cs="Arial"/>
          <w:b/>
          <w:bCs/>
          <w:color w:val="4BACC6" w:themeColor="accent5"/>
          <w:sz w:val="40"/>
          <w:szCs w:val="40"/>
          <w:lang w:eastAsia="en-GB"/>
        </w:rPr>
      </w:pPr>
    </w:p>
    <w:p w14:paraId="3125C450" w14:textId="77777777" w:rsidR="006A6143" w:rsidRDefault="006A6143" w:rsidP="006A6143">
      <w:pPr>
        <w:pStyle w:val="Blockquote"/>
        <w:spacing w:before="0"/>
        <w:ind w:left="0" w:right="0"/>
        <w:jc w:val="both"/>
        <w:rPr>
          <w:rStyle w:val="normaltextrun"/>
          <w:rFonts w:ascii="Arial" w:hAnsi="Arial" w:cs="Arial"/>
          <w:b/>
          <w:bCs/>
          <w:color w:val="298DAF"/>
          <w:sz w:val="40"/>
          <w:szCs w:val="40"/>
          <w:bdr w:val="none" w:sz="0" w:space="0" w:color="auto" w:frame="1"/>
        </w:rPr>
      </w:pPr>
      <w:r>
        <w:rPr>
          <w:rStyle w:val="normaltextrun"/>
          <w:rFonts w:ascii="Arial" w:hAnsi="Arial" w:cs="Arial"/>
          <w:b/>
          <w:bCs/>
          <w:color w:val="298DAF"/>
          <w:sz w:val="40"/>
          <w:szCs w:val="40"/>
          <w:bdr w:val="none" w:sz="0" w:space="0" w:color="auto" w:frame="1"/>
        </w:rPr>
        <w:t xml:space="preserve">Review </w:t>
      </w:r>
    </w:p>
    <w:p w14:paraId="10E91099" w14:textId="77777777" w:rsidR="006A6143" w:rsidRDefault="006A6143" w:rsidP="006A6143">
      <w:pPr>
        <w:textAlignment w:val="baseline"/>
        <w:rPr>
          <w:rFonts w:ascii="Arial" w:eastAsia="Times New Roman" w:hAnsi="Arial" w:cs="Arial"/>
          <w:color w:val="000000"/>
          <w:lang w:eastAsia="en-GB"/>
        </w:rPr>
      </w:pPr>
    </w:p>
    <w:p w14:paraId="582E87C3" w14:textId="77777777" w:rsidR="006A6143" w:rsidRPr="00A30364" w:rsidRDefault="006A6143" w:rsidP="006A6143">
      <w:pPr>
        <w:textAlignment w:val="baseline"/>
        <w:rPr>
          <w:rFonts w:ascii="Segoe UI" w:eastAsia="Times New Roman" w:hAnsi="Segoe UI" w:cs="Segoe UI"/>
          <w:lang w:eastAsia="en-GB"/>
        </w:rPr>
      </w:pPr>
      <w:r w:rsidRPr="00A30364">
        <w:rPr>
          <w:rFonts w:ascii="Arial" w:eastAsia="Times New Roman" w:hAnsi="Arial" w:cs="Arial"/>
          <w:color w:val="000000"/>
          <w:lang w:eastAsia="en-GB"/>
        </w:rPr>
        <w:t xml:space="preserve">This policy will be reviewed at intervals of </w:t>
      </w:r>
      <w:r>
        <w:rPr>
          <w:rFonts w:ascii="Arial" w:eastAsia="Times New Roman" w:hAnsi="Arial" w:cs="Arial"/>
          <w:color w:val="000000"/>
          <w:lang w:eastAsia="en-GB"/>
        </w:rPr>
        <w:t>1</w:t>
      </w:r>
      <w:r w:rsidRPr="00A30364">
        <w:rPr>
          <w:rFonts w:ascii="Arial" w:eastAsia="Times New Roman" w:hAnsi="Arial" w:cs="Arial"/>
          <w:color w:val="000000"/>
          <w:lang w:eastAsia="en-GB"/>
        </w:rPr>
        <w:t xml:space="preserve"> year to ensure it remains up to date and compliant with the law. </w:t>
      </w:r>
    </w:p>
    <w:p w14:paraId="0C1B16F0" w14:textId="77777777" w:rsidR="006A6143" w:rsidRPr="00A30364" w:rsidRDefault="006A6143" w:rsidP="006A6143">
      <w:pPr>
        <w:textAlignment w:val="baseline"/>
        <w:rPr>
          <w:rFonts w:ascii="Segoe UI" w:eastAsia="Times New Roman" w:hAnsi="Segoe UI" w:cs="Segoe UI"/>
          <w:lang w:eastAsia="en-GB"/>
        </w:rPr>
      </w:pPr>
      <w:r w:rsidRPr="00A30364">
        <w:rPr>
          <w:rFonts w:ascii="Arial" w:eastAsia="Times New Roman" w:hAnsi="Arial" w:cs="Arial"/>
          <w:color w:val="000000"/>
          <w:lang w:eastAsia="en-GB"/>
        </w:rPr>
        <w:t> </w:t>
      </w:r>
    </w:p>
    <w:p w14:paraId="064BB987" w14:textId="77777777" w:rsidR="006A6143" w:rsidRPr="00A30364" w:rsidRDefault="006A6143" w:rsidP="006A6143">
      <w:pPr>
        <w:textAlignment w:val="baseline"/>
        <w:rPr>
          <w:rFonts w:ascii="Segoe UI" w:eastAsia="Times New Roman" w:hAnsi="Segoe UI" w:cs="Segoe UI"/>
          <w:lang w:eastAsia="en-GB"/>
        </w:rPr>
      </w:pPr>
      <w:r w:rsidRPr="00A30364">
        <w:rPr>
          <w:rFonts w:ascii="Arial" w:eastAsia="Times New Roman" w:hAnsi="Arial" w:cs="Arial"/>
          <w:color w:val="000000"/>
          <w:lang w:eastAsia="en-GB"/>
        </w:rPr>
        <w:t xml:space="preserve">The policy was last updated </w:t>
      </w:r>
      <w:r>
        <w:rPr>
          <w:rFonts w:ascii="Arial" w:eastAsia="Times New Roman" w:hAnsi="Arial" w:cs="Arial"/>
          <w:color w:val="000000"/>
          <w:lang w:eastAsia="en-GB"/>
        </w:rPr>
        <w:t>June</w:t>
      </w:r>
      <w:r w:rsidRPr="00A30364">
        <w:rPr>
          <w:rFonts w:ascii="Arial" w:eastAsia="Times New Roman" w:hAnsi="Arial" w:cs="Arial"/>
          <w:color w:val="000000"/>
          <w:lang w:eastAsia="en-GB"/>
        </w:rPr>
        <w:t xml:space="preserve"> 202</w:t>
      </w:r>
      <w:r>
        <w:rPr>
          <w:rFonts w:ascii="Arial" w:eastAsia="Times New Roman" w:hAnsi="Arial" w:cs="Arial"/>
          <w:color w:val="000000"/>
          <w:lang w:eastAsia="en-GB"/>
        </w:rPr>
        <w:t>1</w:t>
      </w:r>
      <w:r w:rsidRPr="00A30364">
        <w:rPr>
          <w:rFonts w:ascii="Arial" w:eastAsia="Times New Roman" w:hAnsi="Arial" w:cs="Arial"/>
          <w:color w:val="000000"/>
          <w:lang w:eastAsia="en-GB"/>
        </w:rPr>
        <w:t xml:space="preserve"> and is due for review </w:t>
      </w:r>
      <w:r>
        <w:rPr>
          <w:rFonts w:ascii="Arial" w:eastAsia="Times New Roman" w:hAnsi="Arial" w:cs="Arial"/>
          <w:color w:val="000000"/>
          <w:lang w:eastAsia="en-GB"/>
        </w:rPr>
        <w:t>May</w:t>
      </w:r>
      <w:r w:rsidRPr="00A30364">
        <w:rPr>
          <w:rFonts w:ascii="Arial" w:eastAsia="Times New Roman" w:hAnsi="Arial" w:cs="Arial"/>
          <w:color w:val="000000"/>
          <w:lang w:eastAsia="en-GB"/>
        </w:rPr>
        <w:t xml:space="preserve"> 2022 </w:t>
      </w:r>
    </w:p>
    <w:p w14:paraId="22191655" w14:textId="77777777" w:rsidR="006A6143" w:rsidRPr="00A30364" w:rsidRDefault="006A6143" w:rsidP="006A6143">
      <w:pPr>
        <w:shd w:val="clear" w:color="auto" w:fill="FFFFFF"/>
        <w:textAlignment w:val="baseline"/>
        <w:rPr>
          <w:rFonts w:ascii="Segoe UI" w:eastAsia="Times New Roman" w:hAnsi="Segoe UI" w:cs="Segoe UI"/>
          <w:lang w:eastAsia="en-GB"/>
        </w:rPr>
      </w:pPr>
      <w:r w:rsidRPr="00A30364">
        <w:rPr>
          <w:rFonts w:ascii="Arial" w:eastAsia="Times New Roman" w:hAnsi="Arial" w:cs="Arial"/>
          <w:color w:val="000000"/>
          <w:lang w:eastAsia="en-GB"/>
        </w:rPr>
        <w:t>The policy may also be reviewed if legislation changes or if monitoring information suggests that policy or practices should be altered. </w:t>
      </w:r>
    </w:p>
    <w:p w14:paraId="377A8DC0" w14:textId="77777777" w:rsidR="006A6143" w:rsidRDefault="006A6143" w:rsidP="006A6143">
      <w:pPr>
        <w:rPr>
          <w:rFonts w:ascii="Arial" w:hAnsi="Arial" w:cs="Arial"/>
          <w:noProof/>
        </w:rPr>
      </w:pPr>
    </w:p>
    <w:p w14:paraId="739CD48A" w14:textId="77777777" w:rsidR="006A6143" w:rsidRDefault="006A6143" w:rsidP="006A6143">
      <w:pPr>
        <w:rPr>
          <w:rFonts w:ascii="Arial" w:hAnsi="Arial" w:cs="Arial"/>
          <w:noProof/>
        </w:rPr>
      </w:pPr>
    </w:p>
    <w:p w14:paraId="6292B182" w14:textId="77777777" w:rsidR="006A6143" w:rsidRDefault="006A6143" w:rsidP="006A6143">
      <w:pPr>
        <w:rPr>
          <w:rFonts w:ascii="Arial" w:hAnsi="Arial" w:cs="Arial"/>
          <w:noProof/>
        </w:rPr>
      </w:pPr>
      <w:r>
        <w:rPr>
          <w:noProof/>
        </w:rPr>
        <w:drawing>
          <wp:inline distT="0" distB="0" distL="0" distR="0" wp14:anchorId="3D0C5D71" wp14:editId="1E6986BA">
            <wp:extent cx="770540" cy="525780"/>
            <wp:effectExtent l="0" t="0" r="0" b="762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3"/>
                    <a:srcRect l="46665" t="47036" r="42034" b="39255"/>
                    <a:stretch/>
                  </pic:blipFill>
                  <pic:spPr bwMode="auto">
                    <a:xfrm>
                      <a:off x="0" y="0"/>
                      <a:ext cx="770895" cy="526022"/>
                    </a:xfrm>
                    <a:prstGeom prst="rect">
                      <a:avLst/>
                    </a:prstGeom>
                    <a:ln>
                      <a:noFill/>
                    </a:ln>
                    <a:extLst>
                      <a:ext uri="{53640926-AAD7-44D8-BBD7-CCE9431645EC}">
                        <a14:shadowObscured xmlns:a14="http://schemas.microsoft.com/office/drawing/2010/main"/>
                      </a:ext>
                    </a:extLst>
                  </pic:spPr>
                </pic:pic>
              </a:graphicData>
            </a:graphic>
          </wp:inline>
        </w:drawing>
      </w:r>
    </w:p>
    <w:p w14:paraId="30B0C056" w14:textId="77777777" w:rsidR="006A6143" w:rsidRDefault="006A6143" w:rsidP="006A6143">
      <w:pPr>
        <w:rPr>
          <w:rFonts w:ascii="Arial" w:hAnsi="Arial" w:cs="Arial"/>
          <w:noProof/>
        </w:rPr>
      </w:pPr>
      <w:r>
        <w:rPr>
          <w:rFonts w:ascii="Arial" w:hAnsi="Arial" w:cs="Arial"/>
          <w:noProof/>
        </w:rPr>
        <w:t>Georgina Selmi</w:t>
      </w:r>
    </w:p>
    <w:p w14:paraId="07CF839B" w14:textId="77777777" w:rsidR="006A6143" w:rsidRDefault="006A6143" w:rsidP="006A6143">
      <w:pPr>
        <w:rPr>
          <w:rFonts w:ascii="Arial" w:hAnsi="Arial" w:cs="Arial"/>
          <w:noProof/>
        </w:rPr>
      </w:pPr>
      <w:r>
        <w:rPr>
          <w:rFonts w:ascii="Arial" w:hAnsi="Arial" w:cs="Arial"/>
          <w:noProof/>
        </w:rPr>
        <w:t>CEO</w:t>
      </w:r>
    </w:p>
    <w:p w14:paraId="3EF8750D" w14:textId="77777777" w:rsidR="006A6143" w:rsidRDefault="006A6143" w:rsidP="006A6143">
      <w:pPr>
        <w:rPr>
          <w:rFonts w:ascii="Arial" w:hAnsi="Arial" w:cs="Arial"/>
          <w:noProof/>
        </w:rPr>
      </w:pPr>
    </w:p>
    <w:p w14:paraId="5CAF3FD9" w14:textId="77777777" w:rsidR="006A6143" w:rsidRDefault="006A6143" w:rsidP="006A6143">
      <w:pPr>
        <w:rPr>
          <w:rFonts w:ascii="Arial" w:hAnsi="Arial" w:cs="Arial"/>
          <w:noProof/>
        </w:rPr>
      </w:pPr>
      <w:r w:rsidRPr="002A3A15">
        <w:rPr>
          <w:noProof/>
        </w:rPr>
        <w:drawing>
          <wp:anchor distT="0" distB="0" distL="114300" distR="114300" simplePos="0" relativeHeight="251661312" behindDoc="0" locked="0" layoutInCell="1" allowOverlap="1" wp14:anchorId="51625CC5" wp14:editId="458DCB2E">
            <wp:simplePos x="457200" y="3078480"/>
            <wp:positionH relativeFrom="column">
              <wp:align>left</wp:align>
            </wp:positionH>
            <wp:positionV relativeFrom="paragraph">
              <wp:align>top</wp:align>
            </wp:positionV>
            <wp:extent cx="769874" cy="54102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9874" cy="541020"/>
                    </a:xfrm>
                    <a:prstGeom prst="rect">
                      <a:avLst/>
                    </a:prstGeom>
                    <a:noFill/>
                    <a:ln>
                      <a:noFill/>
                    </a:ln>
                  </pic:spPr>
                </pic:pic>
              </a:graphicData>
            </a:graphic>
          </wp:anchor>
        </w:drawing>
      </w:r>
    </w:p>
    <w:p w14:paraId="4A3156A7" w14:textId="77777777" w:rsidR="006A6143" w:rsidRDefault="006A6143" w:rsidP="006A6143">
      <w:pPr>
        <w:rPr>
          <w:rFonts w:ascii="Arial" w:hAnsi="Arial" w:cs="Arial"/>
          <w:noProof/>
        </w:rPr>
      </w:pPr>
    </w:p>
    <w:p w14:paraId="61D610F1" w14:textId="77777777" w:rsidR="006A6143" w:rsidRDefault="006A6143" w:rsidP="006A6143">
      <w:pPr>
        <w:rPr>
          <w:rFonts w:ascii="Arial" w:hAnsi="Arial" w:cs="Arial"/>
          <w:noProof/>
        </w:rPr>
      </w:pPr>
    </w:p>
    <w:p w14:paraId="6C54EA4E" w14:textId="77777777" w:rsidR="006A6143" w:rsidRDefault="006A6143" w:rsidP="006A6143">
      <w:pPr>
        <w:rPr>
          <w:rFonts w:ascii="Arial" w:hAnsi="Arial" w:cs="Arial"/>
          <w:noProof/>
        </w:rPr>
      </w:pPr>
    </w:p>
    <w:p w14:paraId="10AD9CBD" w14:textId="77777777" w:rsidR="006A6143" w:rsidRDefault="006A6143" w:rsidP="006A6143">
      <w:pPr>
        <w:rPr>
          <w:rFonts w:ascii="Arial" w:hAnsi="Arial" w:cs="Arial"/>
          <w:noProof/>
        </w:rPr>
      </w:pPr>
      <w:r>
        <w:rPr>
          <w:rFonts w:ascii="Arial" w:hAnsi="Arial" w:cs="Arial"/>
          <w:noProof/>
        </w:rPr>
        <w:t>Tracey Carter</w:t>
      </w:r>
    </w:p>
    <w:p w14:paraId="6F62AF70" w14:textId="77777777" w:rsidR="006A6143" w:rsidRPr="00C173EB" w:rsidRDefault="006A6143" w:rsidP="006A6143">
      <w:pPr>
        <w:rPr>
          <w:rFonts w:ascii="Arial" w:hAnsi="Arial" w:cs="Arial"/>
          <w:noProof/>
        </w:rPr>
      </w:pPr>
      <w:r w:rsidRPr="00C61C7B">
        <w:rPr>
          <w:rFonts w:ascii="Arial" w:hAnsi="Arial" w:cs="Arial"/>
          <w:noProof/>
        </w:rPr>
        <w:t>Head of Quality and Compliance</w:t>
      </w:r>
    </w:p>
    <w:p w14:paraId="37F13F0B" w14:textId="77777777" w:rsidR="006A6143" w:rsidRPr="00BA0164" w:rsidRDefault="006A6143" w:rsidP="006A6143">
      <w:pPr>
        <w:rPr>
          <w:noProof/>
        </w:rPr>
      </w:pPr>
      <w:r>
        <w:rPr>
          <w:rFonts w:ascii="Arial" w:hAnsi="Arial" w:cs="Arial"/>
          <w:sz w:val="40"/>
          <w:szCs w:val="40"/>
        </w:rPr>
        <w:tab/>
      </w:r>
    </w:p>
    <w:p w14:paraId="0409BFE7" w14:textId="77777777" w:rsidR="009275E5" w:rsidRDefault="009275E5" w:rsidP="008E6603">
      <w:pPr>
        <w:rPr>
          <w:rFonts w:ascii="Arial" w:hAnsi="Arial" w:cs="Arial"/>
          <w:sz w:val="40"/>
          <w:szCs w:val="40"/>
        </w:rPr>
      </w:pPr>
    </w:p>
    <w:p w14:paraId="12453999" w14:textId="04BF6EA3" w:rsidR="00363937" w:rsidRDefault="00363937" w:rsidP="008E6603">
      <w:pPr>
        <w:rPr>
          <w:rFonts w:ascii="Arial" w:hAnsi="Arial" w:cs="Arial"/>
          <w:sz w:val="40"/>
          <w:szCs w:val="40"/>
        </w:rPr>
      </w:pPr>
    </w:p>
    <w:p w14:paraId="3F0424B4" w14:textId="77777777" w:rsidR="00363937" w:rsidRPr="00F3080F" w:rsidRDefault="00363937" w:rsidP="008E6603">
      <w:pPr>
        <w:rPr>
          <w:rFonts w:ascii="Arial" w:hAnsi="Arial" w:cs="Arial"/>
          <w:sz w:val="40"/>
          <w:szCs w:val="40"/>
        </w:rPr>
      </w:pPr>
    </w:p>
    <w:sectPr w:rsidR="00363937" w:rsidRPr="00F3080F" w:rsidSect="008841DA">
      <w:headerReference w:type="default" r:id="rId15"/>
      <w:footerReference w:type="defaul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B3F8" w14:textId="77777777" w:rsidR="00F64259" w:rsidRDefault="00F64259" w:rsidP="008841DA">
      <w:r>
        <w:separator/>
      </w:r>
    </w:p>
  </w:endnote>
  <w:endnote w:type="continuationSeparator" w:id="0">
    <w:p w14:paraId="40C0EA51" w14:textId="77777777" w:rsidR="00F64259" w:rsidRDefault="00F64259" w:rsidP="0088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5134" w14:textId="7FDBE2D8" w:rsidR="006A6143" w:rsidRPr="00A9199C" w:rsidRDefault="006A6143" w:rsidP="006A6143">
    <w:pPr>
      <w:rPr>
        <w:rFonts w:ascii="Arial" w:hAnsi="Arial" w:cs="Arial"/>
        <w:sz w:val="22"/>
        <w:szCs w:val="22"/>
      </w:rPr>
    </w:pPr>
    <w:bookmarkStart w:id="1" w:name="_Hlk80709568"/>
    <w:r w:rsidRPr="00A9199C">
      <w:rPr>
        <w:rFonts w:ascii="Arial" w:hAnsi="Arial" w:cs="Arial"/>
        <w:sz w:val="22"/>
        <w:szCs w:val="22"/>
      </w:rPr>
      <w:t xml:space="preserve">BePro </w:t>
    </w:r>
    <w:r>
      <w:rPr>
        <w:rFonts w:ascii="Arial" w:hAnsi="Arial" w:cs="Arial"/>
        <w:sz w:val="22"/>
        <w:szCs w:val="22"/>
      </w:rPr>
      <w:t xml:space="preserve">IV EV </w:t>
    </w:r>
    <w:r w:rsidRPr="00A9199C">
      <w:rPr>
        <w:rFonts w:ascii="Arial" w:hAnsi="Arial" w:cs="Arial"/>
        <w:sz w:val="22"/>
        <w:szCs w:val="22"/>
      </w:rPr>
      <w:t xml:space="preserve">Policy June 2021 Ref </w:t>
    </w:r>
    <w:r>
      <w:rPr>
        <w:rFonts w:ascii="Arial" w:hAnsi="Arial" w:cs="Arial"/>
        <w:sz w:val="22"/>
        <w:szCs w:val="22"/>
      </w:rPr>
      <w:t>IEVP</w:t>
    </w:r>
    <w:r w:rsidRPr="00A9199C">
      <w:rPr>
        <w:rFonts w:ascii="Arial" w:hAnsi="Arial" w:cs="Arial"/>
        <w:sz w:val="22"/>
        <w:szCs w:val="22"/>
      </w:rPr>
      <w:t>03 Review date May 2022</w:t>
    </w:r>
    <w:bookmarkEnd w:id="1"/>
  </w:p>
  <w:p w14:paraId="7A2B465D" w14:textId="3AC522BA" w:rsidR="006637C4" w:rsidRPr="006637C4" w:rsidRDefault="006637C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1F69" w14:textId="77777777" w:rsidR="00F64259" w:rsidRDefault="00F64259" w:rsidP="008841DA">
      <w:r>
        <w:separator/>
      </w:r>
    </w:p>
  </w:footnote>
  <w:footnote w:type="continuationSeparator" w:id="0">
    <w:p w14:paraId="5A106325" w14:textId="77777777" w:rsidR="00F64259" w:rsidRDefault="00F64259" w:rsidP="0088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03C4" w14:textId="6AFA70A2" w:rsidR="006A6143" w:rsidRPr="000114FD" w:rsidRDefault="006A6143" w:rsidP="006A6143">
    <w:pPr>
      <w:rPr>
        <w:rFonts w:ascii="Arial" w:hAnsi="Arial" w:cs="Arial"/>
        <w:sz w:val="22"/>
        <w:szCs w:val="22"/>
        <w:u w:val="single"/>
      </w:rPr>
    </w:pPr>
    <w:bookmarkStart w:id="0" w:name="_Hlk80709512"/>
    <w:r w:rsidRPr="000114FD">
      <w:rPr>
        <w:rFonts w:ascii="Arial" w:hAnsi="Arial" w:cs="Arial"/>
        <w:sz w:val="22"/>
        <w:szCs w:val="22"/>
        <w:u w:val="single"/>
      </w:rPr>
      <w:t xml:space="preserve">2021/2022 BePro </w:t>
    </w:r>
    <w:r>
      <w:rPr>
        <w:rFonts w:ascii="Arial" w:hAnsi="Arial" w:cs="Arial"/>
        <w:sz w:val="22"/>
        <w:szCs w:val="22"/>
        <w:u w:val="single"/>
      </w:rPr>
      <w:t>IV EV</w:t>
    </w:r>
    <w:r w:rsidRPr="000114FD">
      <w:rPr>
        <w:rFonts w:ascii="Arial" w:hAnsi="Arial" w:cs="Arial"/>
        <w:sz w:val="22"/>
        <w:szCs w:val="22"/>
        <w:u w:val="single"/>
      </w:rPr>
      <w:t xml:space="preserve"> Policy Reviewed June 2021 UKPRN 10045955</w:t>
    </w:r>
  </w:p>
  <w:bookmarkEnd w:id="0"/>
  <w:p w14:paraId="64A0D494" w14:textId="77777777" w:rsidR="006A6143" w:rsidRDefault="006A6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E88"/>
    <w:multiLevelType w:val="hybridMultilevel"/>
    <w:tmpl w:val="28D8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90BFC"/>
    <w:multiLevelType w:val="multilevel"/>
    <w:tmpl w:val="86640A6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A1CB6"/>
    <w:multiLevelType w:val="hybridMultilevel"/>
    <w:tmpl w:val="5030A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9B7839"/>
    <w:multiLevelType w:val="hybridMultilevel"/>
    <w:tmpl w:val="E822F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631D2E"/>
    <w:multiLevelType w:val="hybridMultilevel"/>
    <w:tmpl w:val="74042B9C"/>
    <w:lvl w:ilvl="0" w:tplc="484E61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520954"/>
    <w:multiLevelType w:val="hybridMultilevel"/>
    <w:tmpl w:val="0892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E2EA7"/>
    <w:multiLevelType w:val="hybridMultilevel"/>
    <w:tmpl w:val="7ADA88B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24C00282"/>
    <w:multiLevelType w:val="hybridMultilevel"/>
    <w:tmpl w:val="270C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B6C173E"/>
    <w:multiLevelType w:val="hybridMultilevel"/>
    <w:tmpl w:val="AF20CDC6"/>
    <w:lvl w:ilvl="0" w:tplc="08090001">
      <w:start w:val="1"/>
      <w:numFmt w:val="bullet"/>
      <w:lvlText w:val=""/>
      <w:lvlJc w:val="left"/>
      <w:pPr>
        <w:ind w:left="3659" w:hanging="360"/>
      </w:pPr>
      <w:rPr>
        <w:rFonts w:ascii="Symbol" w:hAnsi="Symbol" w:hint="default"/>
      </w:rPr>
    </w:lvl>
    <w:lvl w:ilvl="1" w:tplc="08090003" w:tentative="1">
      <w:start w:val="1"/>
      <w:numFmt w:val="bullet"/>
      <w:lvlText w:val="o"/>
      <w:lvlJc w:val="left"/>
      <w:pPr>
        <w:ind w:left="4379" w:hanging="360"/>
      </w:pPr>
      <w:rPr>
        <w:rFonts w:ascii="Courier New" w:hAnsi="Courier New" w:cs="Courier New" w:hint="default"/>
      </w:rPr>
    </w:lvl>
    <w:lvl w:ilvl="2" w:tplc="08090005" w:tentative="1">
      <w:start w:val="1"/>
      <w:numFmt w:val="bullet"/>
      <w:lvlText w:val=""/>
      <w:lvlJc w:val="left"/>
      <w:pPr>
        <w:ind w:left="5099" w:hanging="360"/>
      </w:pPr>
      <w:rPr>
        <w:rFonts w:ascii="Wingdings" w:hAnsi="Wingdings" w:hint="default"/>
      </w:rPr>
    </w:lvl>
    <w:lvl w:ilvl="3" w:tplc="08090001" w:tentative="1">
      <w:start w:val="1"/>
      <w:numFmt w:val="bullet"/>
      <w:lvlText w:val=""/>
      <w:lvlJc w:val="left"/>
      <w:pPr>
        <w:ind w:left="5819" w:hanging="360"/>
      </w:pPr>
      <w:rPr>
        <w:rFonts w:ascii="Symbol" w:hAnsi="Symbol" w:hint="default"/>
      </w:rPr>
    </w:lvl>
    <w:lvl w:ilvl="4" w:tplc="08090003" w:tentative="1">
      <w:start w:val="1"/>
      <w:numFmt w:val="bullet"/>
      <w:lvlText w:val="o"/>
      <w:lvlJc w:val="left"/>
      <w:pPr>
        <w:ind w:left="6539" w:hanging="360"/>
      </w:pPr>
      <w:rPr>
        <w:rFonts w:ascii="Courier New" w:hAnsi="Courier New" w:cs="Courier New" w:hint="default"/>
      </w:rPr>
    </w:lvl>
    <w:lvl w:ilvl="5" w:tplc="08090005" w:tentative="1">
      <w:start w:val="1"/>
      <w:numFmt w:val="bullet"/>
      <w:lvlText w:val=""/>
      <w:lvlJc w:val="left"/>
      <w:pPr>
        <w:ind w:left="7259" w:hanging="360"/>
      </w:pPr>
      <w:rPr>
        <w:rFonts w:ascii="Wingdings" w:hAnsi="Wingdings" w:hint="default"/>
      </w:rPr>
    </w:lvl>
    <w:lvl w:ilvl="6" w:tplc="08090001" w:tentative="1">
      <w:start w:val="1"/>
      <w:numFmt w:val="bullet"/>
      <w:lvlText w:val=""/>
      <w:lvlJc w:val="left"/>
      <w:pPr>
        <w:ind w:left="7979" w:hanging="360"/>
      </w:pPr>
      <w:rPr>
        <w:rFonts w:ascii="Symbol" w:hAnsi="Symbol" w:hint="default"/>
      </w:rPr>
    </w:lvl>
    <w:lvl w:ilvl="7" w:tplc="08090003" w:tentative="1">
      <w:start w:val="1"/>
      <w:numFmt w:val="bullet"/>
      <w:lvlText w:val="o"/>
      <w:lvlJc w:val="left"/>
      <w:pPr>
        <w:ind w:left="8699" w:hanging="360"/>
      </w:pPr>
      <w:rPr>
        <w:rFonts w:ascii="Courier New" w:hAnsi="Courier New" w:cs="Courier New" w:hint="default"/>
      </w:rPr>
    </w:lvl>
    <w:lvl w:ilvl="8" w:tplc="08090005" w:tentative="1">
      <w:start w:val="1"/>
      <w:numFmt w:val="bullet"/>
      <w:lvlText w:val=""/>
      <w:lvlJc w:val="left"/>
      <w:pPr>
        <w:ind w:left="9419" w:hanging="360"/>
      </w:pPr>
      <w:rPr>
        <w:rFonts w:ascii="Wingdings" w:hAnsi="Wingdings" w:hint="default"/>
      </w:rPr>
    </w:lvl>
  </w:abstractNum>
  <w:abstractNum w:abstractNumId="9" w15:restartNumberingAfterBreak="0">
    <w:nsid w:val="31B2363E"/>
    <w:multiLevelType w:val="hybridMultilevel"/>
    <w:tmpl w:val="6BBA1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946E6"/>
    <w:multiLevelType w:val="hybridMultilevel"/>
    <w:tmpl w:val="43B27DF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A533D05"/>
    <w:multiLevelType w:val="hybridMultilevel"/>
    <w:tmpl w:val="5066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F07AB"/>
    <w:multiLevelType w:val="multilevel"/>
    <w:tmpl w:val="B45CC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C7CDB"/>
    <w:multiLevelType w:val="hybridMultilevel"/>
    <w:tmpl w:val="75C4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76CBA"/>
    <w:multiLevelType w:val="hybridMultilevel"/>
    <w:tmpl w:val="C390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56F05"/>
    <w:multiLevelType w:val="hybridMultilevel"/>
    <w:tmpl w:val="D99E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41808"/>
    <w:multiLevelType w:val="hybridMultilevel"/>
    <w:tmpl w:val="D592040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5C11EEC"/>
    <w:multiLevelType w:val="multilevel"/>
    <w:tmpl w:val="F56E3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2F7B71"/>
    <w:multiLevelType w:val="hybridMultilevel"/>
    <w:tmpl w:val="E7F6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65796"/>
    <w:multiLevelType w:val="hybridMultilevel"/>
    <w:tmpl w:val="BECE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7614D"/>
    <w:multiLevelType w:val="hybridMultilevel"/>
    <w:tmpl w:val="22BC0C0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33CEF"/>
    <w:multiLevelType w:val="hybridMultilevel"/>
    <w:tmpl w:val="CFC8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00032"/>
    <w:multiLevelType w:val="hybridMultilevel"/>
    <w:tmpl w:val="7C50AF4A"/>
    <w:lvl w:ilvl="0" w:tplc="0409000F">
      <w:start w:val="1"/>
      <w:numFmt w:val="decimal"/>
      <w:lvlText w:val="%1."/>
      <w:lvlJc w:val="left"/>
      <w:pPr>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8D4203"/>
    <w:multiLevelType w:val="multilevel"/>
    <w:tmpl w:val="5A1A1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963E2F"/>
    <w:multiLevelType w:val="hybridMultilevel"/>
    <w:tmpl w:val="B662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07503"/>
    <w:multiLevelType w:val="hybridMultilevel"/>
    <w:tmpl w:val="8F40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91117"/>
    <w:multiLevelType w:val="hybridMultilevel"/>
    <w:tmpl w:val="BF2E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8"/>
  </w:num>
  <w:num w:numId="7">
    <w:abstractNumId w:val="11"/>
  </w:num>
  <w:num w:numId="8">
    <w:abstractNumId w:val="2"/>
  </w:num>
  <w:num w:numId="9">
    <w:abstractNumId w:val="10"/>
  </w:num>
  <w:num w:numId="10">
    <w:abstractNumId w:val="15"/>
  </w:num>
  <w:num w:numId="11">
    <w:abstractNumId w:val="23"/>
  </w:num>
  <w:num w:numId="12">
    <w:abstractNumId w:val="3"/>
  </w:num>
  <w:num w:numId="13">
    <w:abstractNumId w:val="12"/>
  </w:num>
  <w:num w:numId="14">
    <w:abstractNumId w:val="1"/>
    <w:lvlOverride w:ilvl="0"/>
    <w:lvlOverride w:ilvl="1">
      <w:startOverride w:val="4"/>
    </w:lvlOverride>
    <w:lvlOverride w:ilvl="2"/>
    <w:lvlOverride w:ilvl="3"/>
    <w:lvlOverride w:ilvl="4"/>
    <w:lvlOverride w:ilvl="5"/>
    <w:lvlOverride w:ilvl="6"/>
    <w:lvlOverride w:ilvl="7"/>
    <w:lvlOverride w:ilvl="8"/>
  </w:num>
  <w:num w:numId="15">
    <w:abstractNumId w:val="14"/>
  </w:num>
  <w:num w:numId="16">
    <w:abstractNumId w:val="21"/>
  </w:num>
  <w:num w:numId="17">
    <w:abstractNumId w:val="22"/>
  </w:num>
  <w:num w:numId="18">
    <w:abstractNumId w:val="9"/>
  </w:num>
  <w:num w:numId="19">
    <w:abstractNumId w:val="26"/>
  </w:num>
  <w:num w:numId="20">
    <w:abstractNumId w:val="24"/>
  </w:num>
  <w:num w:numId="21">
    <w:abstractNumId w:val="13"/>
  </w:num>
  <w:num w:numId="22">
    <w:abstractNumId w:val="18"/>
  </w:num>
  <w:num w:numId="23">
    <w:abstractNumId w:val="6"/>
  </w:num>
  <w:num w:numId="24">
    <w:abstractNumId w:val="4"/>
  </w:num>
  <w:num w:numId="25">
    <w:abstractNumId w:val="16"/>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ytjQ2NTMyNjAzNjZW0lEKTi0uzszPAykwrgUARIIv7CwAAAA="/>
  </w:docVars>
  <w:rsids>
    <w:rsidRoot w:val="009E6E5D"/>
    <w:rsid w:val="00001167"/>
    <w:rsid w:val="00001311"/>
    <w:rsid w:val="00014897"/>
    <w:rsid w:val="00021DC0"/>
    <w:rsid w:val="0004572F"/>
    <w:rsid w:val="00053D23"/>
    <w:rsid w:val="000555BB"/>
    <w:rsid w:val="00072143"/>
    <w:rsid w:val="00074140"/>
    <w:rsid w:val="000B78C7"/>
    <w:rsid w:val="000C400E"/>
    <w:rsid w:val="000D6826"/>
    <w:rsid w:val="000E0084"/>
    <w:rsid w:val="000F1F26"/>
    <w:rsid w:val="00102179"/>
    <w:rsid w:val="001361BA"/>
    <w:rsid w:val="00154121"/>
    <w:rsid w:val="00181136"/>
    <w:rsid w:val="00184490"/>
    <w:rsid w:val="0019585A"/>
    <w:rsid w:val="001A11A0"/>
    <w:rsid w:val="001A3F8F"/>
    <w:rsid w:val="001C11BB"/>
    <w:rsid w:val="001C46E8"/>
    <w:rsid w:val="001C4D3A"/>
    <w:rsid w:val="001C6613"/>
    <w:rsid w:val="001F1E9A"/>
    <w:rsid w:val="001F7EC8"/>
    <w:rsid w:val="00224799"/>
    <w:rsid w:val="00226D8D"/>
    <w:rsid w:val="00227320"/>
    <w:rsid w:val="00247693"/>
    <w:rsid w:val="0026010A"/>
    <w:rsid w:val="00262BF3"/>
    <w:rsid w:val="00270391"/>
    <w:rsid w:val="00276F2F"/>
    <w:rsid w:val="00293F42"/>
    <w:rsid w:val="002A44CB"/>
    <w:rsid w:val="002C0933"/>
    <w:rsid w:val="00306687"/>
    <w:rsid w:val="0031587A"/>
    <w:rsid w:val="00326E28"/>
    <w:rsid w:val="00330A8C"/>
    <w:rsid w:val="003358A9"/>
    <w:rsid w:val="003445F9"/>
    <w:rsid w:val="00363937"/>
    <w:rsid w:val="00366D9F"/>
    <w:rsid w:val="003D0619"/>
    <w:rsid w:val="003E7E7B"/>
    <w:rsid w:val="00417DD9"/>
    <w:rsid w:val="004454F7"/>
    <w:rsid w:val="004A0CFB"/>
    <w:rsid w:val="004E2AA4"/>
    <w:rsid w:val="004E4C06"/>
    <w:rsid w:val="005029E0"/>
    <w:rsid w:val="00513375"/>
    <w:rsid w:val="005251AE"/>
    <w:rsid w:val="00530758"/>
    <w:rsid w:val="00576762"/>
    <w:rsid w:val="00582A6D"/>
    <w:rsid w:val="00585ABF"/>
    <w:rsid w:val="0059459C"/>
    <w:rsid w:val="005F29AE"/>
    <w:rsid w:val="0063400B"/>
    <w:rsid w:val="0064038A"/>
    <w:rsid w:val="006637C4"/>
    <w:rsid w:val="006854C0"/>
    <w:rsid w:val="00691ED0"/>
    <w:rsid w:val="006A6143"/>
    <w:rsid w:val="006F1D35"/>
    <w:rsid w:val="006F7D80"/>
    <w:rsid w:val="00741443"/>
    <w:rsid w:val="00786B29"/>
    <w:rsid w:val="007B54C8"/>
    <w:rsid w:val="007B5FC5"/>
    <w:rsid w:val="007D60E4"/>
    <w:rsid w:val="007F0FCE"/>
    <w:rsid w:val="008054A7"/>
    <w:rsid w:val="0083110F"/>
    <w:rsid w:val="00857969"/>
    <w:rsid w:val="008841DA"/>
    <w:rsid w:val="008914F7"/>
    <w:rsid w:val="0089342D"/>
    <w:rsid w:val="008B2482"/>
    <w:rsid w:val="008D3FD3"/>
    <w:rsid w:val="008E1A01"/>
    <w:rsid w:val="008E3FCC"/>
    <w:rsid w:val="008E6603"/>
    <w:rsid w:val="008F0E0B"/>
    <w:rsid w:val="008F7817"/>
    <w:rsid w:val="0091061F"/>
    <w:rsid w:val="00922B82"/>
    <w:rsid w:val="00925F49"/>
    <w:rsid w:val="009275E5"/>
    <w:rsid w:val="00944B02"/>
    <w:rsid w:val="0094609B"/>
    <w:rsid w:val="0096273C"/>
    <w:rsid w:val="00983837"/>
    <w:rsid w:val="00987325"/>
    <w:rsid w:val="0099211D"/>
    <w:rsid w:val="009B74EA"/>
    <w:rsid w:val="009C6DFB"/>
    <w:rsid w:val="009E277B"/>
    <w:rsid w:val="009E3D14"/>
    <w:rsid w:val="009E5886"/>
    <w:rsid w:val="009E6E5D"/>
    <w:rsid w:val="00A1562F"/>
    <w:rsid w:val="00A16591"/>
    <w:rsid w:val="00A16AED"/>
    <w:rsid w:val="00A22157"/>
    <w:rsid w:val="00A26ED7"/>
    <w:rsid w:val="00A8317F"/>
    <w:rsid w:val="00A93446"/>
    <w:rsid w:val="00AA30E8"/>
    <w:rsid w:val="00AE600C"/>
    <w:rsid w:val="00AF6192"/>
    <w:rsid w:val="00B03A26"/>
    <w:rsid w:val="00B219F3"/>
    <w:rsid w:val="00B909FD"/>
    <w:rsid w:val="00BB50CF"/>
    <w:rsid w:val="00BC233A"/>
    <w:rsid w:val="00BD13C5"/>
    <w:rsid w:val="00BE7EA9"/>
    <w:rsid w:val="00C2423B"/>
    <w:rsid w:val="00C45EC0"/>
    <w:rsid w:val="00C54EEC"/>
    <w:rsid w:val="00C83148"/>
    <w:rsid w:val="00CA2D09"/>
    <w:rsid w:val="00CA7750"/>
    <w:rsid w:val="00CB1E38"/>
    <w:rsid w:val="00CB471A"/>
    <w:rsid w:val="00CD4751"/>
    <w:rsid w:val="00CF2DCA"/>
    <w:rsid w:val="00D03EB6"/>
    <w:rsid w:val="00D07AD8"/>
    <w:rsid w:val="00D3565A"/>
    <w:rsid w:val="00D41D10"/>
    <w:rsid w:val="00D51A9A"/>
    <w:rsid w:val="00D52FB4"/>
    <w:rsid w:val="00DB17C4"/>
    <w:rsid w:val="00DB25ED"/>
    <w:rsid w:val="00DB31E3"/>
    <w:rsid w:val="00DC03FA"/>
    <w:rsid w:val="00DE6760"/>
    <w:rsid w:val="00DF5308"/>
    <w:rsid w:val="00E15956"/>
    <w:rsid w:val="00E159BA"/>
    <w:rsid w:val="00E27D8A"/>
    <w:rsid w:val="00E47F13"/>
    <w:rsid w:val="00E66F3D"/>
    <w:rsid w:val="00E711B1"/>
    <w:rsid w:val="00EC1062"/>
    <w:rsid w:val="00EE3A7D"/>
    <w:rsid w:val="00EF2F53"/>
    <w:rsid w:val="00EF630B"/>
    <w:rsid w:val="00F3080F"/>
    <w:rsid w:val="00F64259"/>
    <w:rsid w:val="00F66D4D"/>
    <w:rsid w:val="00F84924"/>
    <w:rsid w:val="00F8599C"/>
    <w:rsid w:val="00F93415"/>
    <w:rsid w:val="00FC6158"/>
    <w:rsid w:val="00FD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984FF"/>
  <w14:defaultImageDpi w14:val="330"/>
  <w15:docId w15:val="{6D7BA07C-E1DD-4EFA-922A-242EEDA6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0555B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E5D"/>
    <w:rPr>
      <w:rFonts w:ascii="Lucida Grande" w:hAnsi="Lucida Grande"/>
      <w:sz w:val="18"/>
      <w:szCs w:val="18"/>
    </w:rPr>
  </w:style>
  <w:style w:type="character" w:customStyle="1" w:styleId="BalloonTextChar">
    <w:name w:val="Balloon Text Char"/>
    <w:basedOn w:val="DefaultParagraphFont"/>
    <w:link w:val="BalloonText"/>
    <w:uiPriority w:val="99"/>
    <w:semiHidden/>
    <w:rsid w:val="009E6E5D"/>
    <w:rPr>
      <w:rFonts w:ascii="Lucida Grande" w:hAnsi="Lucida Grande"/>
      <w:sz w:val="18"/>
      <w:szCs w:val="18"/>
      <w:lang w:val="en-GB"/>
    </w:rPr>
  </w:style>
  <w:style w:type="paragraph" w:styleId="NormalWeb">
    <w:name w:val="Normal (Web)"/>
    <w:basedOn w:val="Normal"/>
    <w:rsid w:val="008841DA"/>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841DA"/>
    <w:rPr>
      <w:rFonts w:ascii="Arial" w:eastAsia="Calibri" w:hAnsi="Arial" w:cs="Times New Roman"/>
      <w:sz w:val="22"/>
      <w:szCs w:val="22"/>
      <w:lang w:val="en-GB"/>
    </w:rPr>
  </w:style>
  <w:style w:type="paragraph" w:styleId="Header">
    <w:name w:val="header"/>
    <w:basedOn w:val="Normal"/>
    <w:link w:val="HeaderChar"/>
    <w:uiPriority w:val="99"/>
    <w:unhideWhenUsed/>
    <w:rsid w:val="008841DA"/>
    <w:pPr>
      <w:tabs>
        <w:tab w:val="center" w:pos="4320"/>
        <w:tab w:val="right" w:pos="8640"/>
      </w:tabs>
    </w:pPr>
  </w:style>
  <w:style w:type="character" w:customStyle="1" w:styleId="HeaderChar">
    <w:name w:val="Header Char"/>
    <w:basedOn w:val="DefaultParagraphFont"/>
    <w:link w:val="Header"/>
    <w:uiPriority w:val="99"/>
    <w:rsid w:val="008841DA"/>
    <w:rPr>
      <w:lang w:val="en-GB"/>
    </w:rPr>
  </w:style>
  <w:style w:type="paragraph" w:styleId="Footer">
    <w:name w:val="footer"/>
    <w:basedOn w:val="Normal"/>
    <w:link w:val="FooterChar"/>
    <w:uiPriority w:val="99"/>
    <w:unhideWhenUsed/>
    <w:rsid w:val="008841DA"/>
    <w:pPr>
      <w:tabs>
        <w:tab w:val="center" w:pos="4320"/>
        <w:tab w:val="right" w:pos="8640"/>
      </w:tabs>
    </w:pPr>
  </w:style>
  <w:style w:type="character" w:customStyle="1" w:styleId="FooterChar">
    <w:name w:val="Footer Char"/>
    <w:basedOn w:val="DefaultParagraphFont"/>
    <w:link w:val="Footer"/>
    <w:uiPriority w:val="99"/>
    <w:rsid w:val="008841DA"/>
    <w:rPr>
      <w:lang w:val="en-GB"/>
    </w:rPr>
  </w:style>
  <w:style w:type="paragraph" w:styleId="ListParagraph">
    <w:name w:val="List Paragraph"/>
    <w:basedOn w:val="Normal"/>
    <w:uiPriority w:val="34"/>
    <w:qFormat/>
    <w:rsid w:val="000E0084"/>
    <w:pPr>
      <w:ind w:left="720"/>
    </w:pPr>
    <w:rPr>
      <w:rFonts w:ascii="Times New Roman" w:eastAsia="Times New Roman" w:hAnsi="Times New Roman" w:cs="Times New Roman"/>
      <w:lang w:eastAsia="en-GB"/>
    </w:rPr>
  </w:style>
  <w:style w:type="character" w:styleId="Hyperlink">
    <w:name w:val="Hyperlink"/>
    <w:rsid w:val="000E0084"/>
    <w:rPr>
      <w:color w:val="0000FF"/>
      <w:u w:val="single"/>
    </w:rPr>
  </w:style>
  <w:style w:type="paragraph" w:customStyle="1" w:styleId="Blockquote">
    <w:name w:val="Blockquote"/>
    <w:basedOn w:val="Normal"/>
    <w:rsid w:val="000B78C7"/>
    <w:pPr>
      <w:widowControl w:val="0"/>
      <w:spacing w:before="100" w:after="100"/>
      <w:ind w:left="360" w:right="360"/>
    </w:pPr>
    <w:rPr>
      <w:rFonts w:ascii="Times New Roman" w:eastAsia="Times New Roman" w:hAnsi="Times New Roman" w:cs="Times New Roman"/>
      <w:snapToGrid w:val="0"/>
      <w:szCs w:val="20"/>
    </w:rPr>
  </w:style>
  <w:style w:type="character" w:styleId="UnresolvedMention">
    <w:name w:val="Unresolved Mention"/>
    <w:basedOn w:val="DefaultParagraphFont"/>
    <w:uiPriority w:val="99"/>
    <w:semiHidden/>
    <w:unhideWhenUsed/>
    <w:rsid w:val="001A11A0"/>
    <w:rPr>
      <w:color w:val="605E5C"/>
      <w:shd w:val="clear" w:color="auto" w:fill="E1DFDD"/>
    </w:rPr>
  </w:style>
  <w:style w:type="character" w:customStyle="1" w:styleId="Heading1Char">
    <w:name w:val="Heading 1 Char"/>
    <w:basedOn w:val="DefaultParagraphFont"/>
    <w:link w:val="Heading1"/>
    <w:uiPriority w:val="9"/>
    <w:rsid w:val="000555BB"/>
    <w:rPr>
      <w:rFonts w:ascii="Times New Roman" w:eastAsia="Times New Roman" w:hAnsi="Times New Roman" w:cs="Times New Roman"/>
      <w:b/>
      <w:bCs/>
      <w:kern w:val="36"/>
      <w:sz w:val="48"/>
      <w:szCs w:val="48"/>
      <w:lang w:val="en-GB" w:eastAsia="en-GB"/>
    </w:rPr>
  </w:style>
  <w:style w:type="character" w:customStyle="1" w:styleId="apple-converted-space">
    <w:name w:val="apple-converted-space"/>
    <w:basedOn w:val="DefaultParagraphFont"/>
    <w:rsid w:val="008E6603"/>
  </w:style>
  <w:style w:type="paragraph" w:customStyle="1" w:styleId="paragraph">
    <w:name w:val="paragraph"/>
    <w:basedOn w:val="Normal"/>
    <w:rsid w:val="008E660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E6603"/>
  </w:style>
  <w:style w:type="character" w:customStyle="1" w:styleId="eop">
    <w:name w:val="eop"/>
    <w:basedOn w:val="DefaultParagraphFont"/>
    <w:rsid w:val="008E6603"/>
  </w:style>
  <w:style w:type="table" w:styleId="TableGrid">
    <w:name w:val="Table Grid"/>
    <w:basedOn w:val="TableNormal"/>
    <w:uiPriority w:val="59"/>
    <w:rsid w:val="0066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10769">
      <w:bodyDiv w:val="1"/>
      <w:marLeft w:val="0"/>
      <w:marRight w:val="0"/>
      <w:marTop w:val="0"/>
      <w:marBottom w:val="0"/>
      <w:divBdr>
        <w:top w:val="none" w:sz="0" w:space="0" w:color="auto"/>
        <w:left w:val="none" w:sz="0" w:space="0" w:color="auto"/>
        <w:bottom w:val="none" w:sz="0" w:space="0" w:color="auto"/>
        <w:right w:val="none" w:sz="0" w:space="0" w:color="auto"/>
      </w:divBdr>
    </w:div>
    <w:div w:id="1624194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CEE2CD7E4CD742B6325E677C74A4E3" ma:contentTypeVersion="13" ma:contentTypeDescription="Create a new document." ma:contentTypeScope="" ma:versionID="f06b8b8052d15db0534633969a3f47e6">
  <xsd:schema xmlns:xsd="http://www.w3.org/2001/XMLSchema" xmlns:xs="http://www.w3.org/2001/XMLSchema" xmlns:p="http://schemas.microsoft.com/office/2006/metadata/properties" xmlns:ns3="6aa0b7d1-7cf4-4a35-9c2b-4ddc57b4362d" xmlns:ns4="47a28de5-7be8-4b44-b35e-df4f0ac08209" targetNamespace="http://schemas.microsoft.com/office/2006/metadata/properties" ma:root="true" ma:fieldsID="e344fe7fd38cdc6ec9b865c09d9226fc" ns3:_="" ns4:_="">
    <xsd:import namespace="6aa0b7d1-7cf4-4a35-9c2b-4ddc57b4362d"/>
    <xsd:import namespace="47a28de5-7be8-4b44-b35e-df4f0ac082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0b7d1-7cf4-4a35-9c2b-4ddc57b436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28de5-7be8-4b44-b35e-df4f0ac08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D6303-36FB-4893-B2AE-6997A5BAF836}">
  <ds:schemaRefs>
    <ds:schemaRef ds:uri="http://schemas.openxmlformats.org/officeDocument/2006/bibliography"/>
  </ds:schemaRefs>
</ds:datastoreItem>
</file>

<file path=customXml/itemProps2.xml><?xml version="1.0" encoding="utf-8"?>
<ds:datastoreItem xmlns:ds="http://schemas.openxmlformats.org/officeDocument/2006/customXml" ds:itemID="{69712ED4-76D3-464C-AE2B-B5A2F755E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2C058-159E-44C5-B336-74C8C402861C}">
  <ds:schemaRefs>
    <ds:schemaRef ds:uri="http://schemas.microsoft.com/sharepoint/v3/contenttype/forms"/>
  </ds:schemaRefs>
</ds:datastoreItem>
</file>

<file path=customXml/itemProps4.xml><?xml version="1.0" encoding="utf-8"?>
<ds:datastoreItem xmlns:ds="http://schemas.openxmlformats.org/officeDocument/2006/customXml" ds:itemID="{9A13F66E-6B32-4712-86B6-8230C4106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0b7d1-7cf4-4a35-9c2b-4ddc57b4362d"/>
    <ds:schemaRef ds:uri="47a28de5-7be8-4b44-b35e-df4f0ac08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Dalgarno</dc:creator>
  <cp:keywords/>
  <dc:description/>
  <cp:lastModifiedBy>Tracey Carter</cp:lastModifiedBy>
  <cp:revision>3</cp:revision>
  <cp:lastPrinted>2020-05-20T09:23:00Z</cp:lastPrinted>
  <dcterms:created xsi:type="dcterms:W3CDTF">2021-11-23T16:20:00Z</dcterms:created>
  <dcterms:modified xsi:type="dcterms:W3CDTF">2021-11-23T16:25:00Z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0x010100B0CEE2CD7E4CD742B6325E677C74A4E3</vt:lpwstr>
  </property>
</Properties>
</file>